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6C" w:rsidRDefault="0094316C" w:rsidP="0094316C">
      <w:pPr>
        <w:pStyle w:val="Heading2"/>
        <w:spacing w:line="360" w:lineRule="auto"/>
        <w:jc w:val="center"/>
        <w:rPr>
          <w:rFonts w:cs="Times New Roman"/>
          <w:szCs w:val="28"/>
          <w:lang w:val="vi-VN"/>
        </w:rPr>
      </w:pPr>
      <w:r w:rsidRPr="00FB1448">
        <w:rPr>
          <w:rFonts w:cs="Times New Roman"/>
          <w:lang w:val="vi-VN"/>
        </w:rPr>
        <w:t xml:space="preserve">NHỮNG VẤN ĐỀ CƠ BẢN VỀ TRANH CHẤP HỢP ĐỒNG </w:t>
      </w:r>
      <w:r>
        <w:rPr>
          <w:rFonts w:cs="Times New Roman"/>
          <w:lang w:val="vi-VN"/>
        </w:rPr>
        <w:t xml:space="preserve">                      </w:t>
      </w:r>
      <w:r w:rsidRPr="00FB1448">
        <w:rPr>
          <w:rFonts w:cs="Times New Roman"/>
          <w:lang w:val="vi-VN"/>
        </w:rPr>
        <w:t>TÍN DỤNG</w:t>
      </w:r>
      <w:bookmarkStart w:id="0" w:name="_GoBack"/>
      <w:bookmarkEnd w:id="0"/>
    </w:p>
    <w:p w:rsidR="0094316C" w:rsidRPr="0094316C" w:rsidRDefault="0094316C" w:rsidP="0094316C">
      <w:pPr>
        <w:pStyle w:val="Heading2"/>
        <w:spacing w:line="360" w:lineRule="auto"/>
        <w:jc w:val="both"/>
        <w:rPr>
          <w:rFonts w:cs="Times New Roman"/>
          <w:szCs w:val="28"/>
          <w:lang w:val="vi-VN"/>
        </w:rPr>
      </w:pPr>
      <w:r w:rsidRPr="0094316C">
        <w:rPr>
          <w:rFonts w:cs="Times New Roman"/>
          <w:szCs w:val="28"/>
          <w:lang w:val="vi-VN"/>
        </w:rPr>
        <w:t>1.2. Khái niệm và đặc điểm tranh chấp hợp đồng tín dụng</w:t>
      </w:r>
    </w:p>
    <w:p w:rsidR="0094316C" w:rsidRPr="00565AE3" w:rsidRDefault="0094316C" w:rsidP="0094316C">
      <w:pPr>
        <w:pStyle w:val="Heading3"/>
        <w:spacing w:line="360" w:lineRule="auto"/>
        <w:jc w:val="both"/>
        <w:rPr>
          <w:rFonts w:cs="Times New Roman"/>
          <w:i w:val="0"/>
          <w:szCs w:val="28"/>
        </w:rPr>
      </w:pPr>
      <w:r w:rsidRPr="00565AE3">
        <w:rPr>
          <w:rFonts w:cs="Times New Roman"/>
          <w:szCs w:val="28"/>
        </w:rPr>
        <w:t xml:space="preserve">1.2.1. </w:t>
      </w:r>
      <w:proofErr w:type="spellStart"/>
      <w:r w:rsidRPr="00565AE3">
        <w:rPr>
          <w:rFonts w:cs="Times New Roman"/>
          <w:szCs w:val="28"/>
        </w:rPr>
        <w:t>Khái</w:t>
      </w:r>
      <w:proofErr w:type="spellEnd"/>
      <w:r w:rsidRPr="00565AE3">
        <w:rPr>
          <w:rFonts w:cs="Times New Roman"/>
          <w:szCs w:val="28"/>
        </w:rPr>
        <w:t xml:space="preserve"> </w:t>
      </w:r>
      <w:proofErr w:type="spellStart"/>
      <w:r w:rsidRPr="00565AE3">
        <w:rPr>
          <w:rFonts w:cs="Times New Roman"/>
          <w:szCs w:val="28"/>
        </w:rPr>
        <w:t>niệm</w:t>
      </w:r>
      <w:proofErr w:type="spellEnd"/>
      <w:r w:rsidRPr="00565AE3">
        <w:rPr>
          <w:rFonts w:cs="Times New Roman"/>
          <w:szCs w:val="28"/>
        </w:rPr>
        <w:t xml:space="preserve"> </w:t>
      </w:r>
      <w:proofErr w:type="spellStart"/>
      <w:r w:rsidRPr="00565AE3">
        <w:rPr>
          <w:rFonts w:cs="Times New Roman"/>
          <w:szCs w:val="28"/>
        </w:rPr>
        <w:t>tranh</w:t>
      </w:r>
      <w:proofErr w:type="spellEnd"/>
      <w:r w:rsidRPr="00565AE3">
        <w:rPr>
          <w:rFonts w:cs="Times New Roman"/>
          <w:szCs w:val="28"/>
        </w:rPr>
        <w:t xml:space="preserve"> </w:t>
      </w:r>
      <w:proofErr w:type="spellStart"/>
      <w:r w:rsidRPr="00565AE3">
        <w:rPr>
          <w:rFonts w:cs="Times New Roman"/>
          <w:szCs w:val="28"/>
        </w:rPr>
        <w:t>chấp</w:t>
      </w:r>
      <w:proofErr w:type="spellEnd"/>
      <w:r w:rsidRPr="00565AE3">
        <w:rPr>
          <w:rFonts w:cs="Times New Roman"/>
          <w:szCs w:val="28"/>
        </w:rPr>
        <w:t xml:space="preserve"> </w:t>
      </w:r>
      <w:proofErr w:type="spellStart"/>
      <w:r w:rsidRPr="00565AE3">
        <w:rPr>
          <w:rFonts w:cs="Times New Roman"/>
          <w:szCs w:val="28"/>
        </w:rPr>
        <w:t>hợp</w:t>
      </w:r>
      <w:proofErr w:type="spellEnd"/>
      <w:r w:rsidRPr="00565AE3">
        <w:rPr>
          <w:rFonts w:cs="Times New Roman"/>
          <w:szCs w:val="28"/>
        </w:rPr>
        <w:t xml:space="preserve"> </w:t>
      </w:r>
      <w:proofErr w:type="spellStart"/>
      <w:r w:rsidRPr="00565AE3">
        <w:rPr>
          <w:rFonts w:cs="Times New Roman"/>
          <w:szCs w:val="28"/>
        </w:rPr>
        <w:t>đồng</w:t>
      </w:r>
      <w:proofErr w:type="spellEnd"/>
      <w:r w:rsidRPr="00565AE3">
        <w:rPr>
          <w:rFonts w:cs="Times New Roman"/>
          <w:szCs w:val="28"/>
        </w:rPr>
        <w:t xml:space="preserve"> </w:t>
      </w:r>
      <w:proofErr w:type="spellStart"/>
      <w:r w:rsidRPr="00565AE3">
        <w:rPr>
          <w:rFonts w:cs="Times New Roman"/>
          <w:szCs w:val="28"/>
        </w:rPr>
        <w:t>tín</w:t>
      </w:r>
      <w:proofErr w:type="spellEnd"/>
      <w:r w:rsidRPr="00565AE3">
        <w:rPr>
          <w:rFonts w:cs="Times New Roman"/>
          <w:szCs w:val="28"/>
        </w:rPr>
        <w:t xml:space="preserve"> </w:t>
      </w:r>
      <w:proofErr w:type="spellStart"/>
      <w:r w:rsidRPr="00565AE3">
        <w:rPr>
          <w:rFonts w:cs="Times New Roman"/>
          <w:szCs w:val="28"/>
        </w:rPr>
        <w:t>dụng</w:t>
      </w:r>
      <w:proofErr w:type="spellEnd"/>
    </w:p>
    <w:p w:rsidR="0094316C" w:rsidRPr="00565AE3" w:rsidRDefault="0094316C" w:rsidP="0094316C">
      <w:pPr>
        <w:pStyle w:val="ListParagraph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65AE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316C" w:rsidRPr="00565AE3" w:rsidRDefault="0094316C" w:rsidP="0094316C">
      <w:pPr>
        <w:pStyle w:val="ListParagraph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5AE3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5AE3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. Do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coi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A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bất</w:t>
      </w:r>
      <w:proofErr w:type="spellEnd"/>
      <w:r w:rsidRPr="00565A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đồng</w:t>
      </w:r>
      <w:proofErr w:type="spellEnd"/>
      <w:r w:rsidRPr="00565A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ý </w:t>
      </w:r>
      <w:proofErr w:type="spellStart"/>
      <w:r w:rsidRPr="00565A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chí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>.</w:t>
      </w:r>
    </w:p>
    <w:p w:rsidR="0094316C" w:rsidRPr="00565AE3" w:rsidRDefault="0094316C" w:rsidP="0094316C">
      <w:pPr>
        <w:pStyle w:val="ListParagraph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5AE3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5AE3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>.</w:t>
      </w:r>
    </w:p>
    <w:p w:rsidR="0094316C" w:rsidRPr="00565AE3" w:rsidRDefault="0094316C" w:rsidP="0094316C">
      <w:pPr>
        <w:pStyle w:val="ListParagraph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65AE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vay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vay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5AE3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vay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nợ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vay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, hay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>.</w:t>
      </w:r>
    </w:p>
    <w:p w:rsidR="0094316C" w:rsidRPr="00565AE3" w:rsidRDefault="0094316C" w:rsidP="0094316C">
      <w:pPr>
        <w:pStyle w:val="Heading3"/>
        <w:spacing w:line="360" w:lineRule="auto"/>
        <w:jc w:val="both"/>
        <w:rPr>
          <w:rFonts w:cs="Times New Roman"/>
          <w:i w:val="0"/>
          <w:szCs w:val="28"/>
        </w:rPr>
      </w:pPr>
      <w:r w:rsidRPr="00565AE3">
        <w:rPr>
          <w:rFonts w:cs="Times New Roman"/>
          <w:szCs w:val="28"/>
        </w:rPr>
        <w:t xml:space="preserve">1.2.2. </w:t>
      </w:r>
      <w:proofErr w:type="spellStart"/>
      <w:r w:rsidRPr="00565AE3">
        <w:rPr>
          <w:rFonts w:cs="Times New Roman"/>
          <w:szCs w:val="28"/>
        </w:rPr>
        <w:t>Đặc</w:t>
      </w:r>
      <w:proofErr w:type="spellEnd"/>
      <w:r w:rsidRPr="00565AE3">
        <w:rPr>
          <w:rFonts w:cs="Times New Roman"/>
          <w:szCs w:val="28"/>
        </w:rPr>
        <w:t xml:space="preserve"> </w:t>
      </w:r>
      <w:proofErr w:type="spellStart"/>
      <w:r w:rsidRPr="00565AE3">
        <w:rPr>
          <w:rFonts w:cs="Times New Roman"/>
          <w:szCs w:val="28"/>
        </w:rPr>
        <w:t>điểm</w:t>
      </w:r>
      <w:proofErr w:type="spellEnd"/>
      <w:r w:rsidRPr="00565AE3">
        <w:rPr>
          <w:rFonts w:cs="Times New Roman"/>
          <w:szCs w:val="28"/>
        </w:rPr>
        <w:t xml:space="preserve"> </w:t>
      </w:r>
      <w:proofErr w:type="spellStart"/>
      <w:r w:rsidRPr="00565AE3">
        <w:rPr>
          <w:rFonts w:cs="Times New Roman"/>
          <w:szCs w:val="28"/>
        </w:rPr>
        <w:t>tranh</w:t>
      </w:r>
      <w:proofErr w:type="spellEnd"/>
      <w:r w:rsidRPr="00565AE3">
        <w:rPr>
          <w:rFonts w:cs="Times New Roman"/>
          <w:szCs w:val="28"/>
        </w:rPr>
        <w:t xml:space="preserve"> </w:t>
      </w:r>
      <w:proofErr w:type="spellStart"/>
      <w:r w:rsidRPr="00565AE3">
        <w:rPr>
          <w:rFonts w:cs="Times New Roman"/>
          <w:szCs w:val="28"/>
        </w:rPr>
        <w:t>chấp</w:t>
      </w:r>
      <w:proofErr w:type="spellEnd"/>
      <w:r w:rsidRPr="00565AE3">
        <w:rPr>
          <w:rFonts w:cs="Times New Roman"/>
          <w:szCs w:val="28"/>
        </w:rPr>
        <w:t xml:space="preserve"> </w:t>
      </w:r>
      <w:proofErr w:type="spellStart"/>
      <w:r w:rsidRPr="00565AE3">
        <w:rPr>
          <w:rFonts w:cs="Times New Roman"/>
          <w:szCs w:val="28"/>
        </w:rPr>
        <w:t>hợp</w:t>
      </w:r>
      <w:proofErr w:type="spellEnd"/>
      <w:r w:rsidRPr="00565AE3">
        <w:rPr>
          <w:rFonts w:cs="Times New Roman"/>
          <w:szCs w:val="28"/>
        </w:rPr>
        <w:t xml:space="preserve"> </w:t>
      </w:r>
      <w:proofErr w:type="spellStart"/>
      <w:r w:rsidRPr="00565AE3">
        <w:rPr>
          <w:rFonts w:cs="Times New Roman"/>
          <w:szCs w:val="28"/>
        </w:rPr>
        <w:t>đồng</w:t>
      </w:r>
      <w:proofErr w:type="spellEnd"/>
      <w:r w:rsidRPr="00565AE3">
        <w:rPr>
          <w:rFonts w:cs="Times New Roman"/>
          <w:szCs w:val="28"/>
        </w:rPr>
        <w:t xml:space="preserve"> </w:t>
      </w:r>
      <w:proofErr w:type="spellStart"/>
      <w:r w:rsidRPr="00565AE3">
        <w:rPr>
          <w:rFonts w:cs="Times New Roman"/>
          <w:szCs w:val="28"/>
        </w:rPr>
        <w:t>tín</w:t>
      </w:r>
      <w:proofErr w:type="spellEnd"/>
      <w:r w:rsidRPr="00565AE3">
        <w:rPr>
          <w:rFonts w:cs="Times New Roman"/>
          <w:szCs w:val="28"/>
        </w:rPr>
        <w:t xml:space="preserve"> </w:t>
      </w:r>
      <w:proofErr w:type="spellStart"/>
      <w:r w:rsidRPr="00565AE3">
        <w:rPr>
          <w:rFonts w:cs="Times New Roman"/>
          <w:szCs w:val="28"/>
        </w:rPr>
        <w:t>dụng</w:t>
      </w:r>
      <w:proofErr w:type="spellEnd"/>
    </w:p>
    <w:p w:rsidR="0094316C" w:rsidRPr="00565AE3" w:rsidRDefault="0094316C" w:rsidP="0094316C">
      <w:pPr>
        <w:pStyle w:val="ListParagraph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AE3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thuyết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trưng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>:</w:t>
      </w:r>
    </w:p>
    <w:p w:rsidR="0094316C" w:rsidRPr="00565AE3" w:rsidRDefault="0094316C" w:rsidP="0094316C">
      <w:pPr>
        <w:pStyle w:val="ListParagraph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65AE3">
        <w:rPr>
          <w:rFonts w:ascii="Times New Roman" w:hAnsi="Times New Roman" w:cs="Times New Roman"/>
          <w:i/>
          <w:sz w:val="28"/>
          <w:szCs w:val="28"/>
        </w:rPr>
        <w:lastRenderedPageBreak/>
        <w:t>Thứ</w:t>
      </w:r>
      <w:proofErr w:type="spellEnd"/>
      <w:r w:rsidRPr="00565A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i/>
          <w:sz w:val="28"/>
          <w:szCs w:val="28"/>
        </w:rPr>
        <w:t>nhất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HĐTD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5AE3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HĐTD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HĐTD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65AE3">
        <w:rPr>
          <w:rFonts w:ascii="Times New Roman" w:hAnsi="Times New Roman" w:cs="Times New Roman"/>
          <w:sz w:val="28"/>
          <w:szCs w:val="28"/>
        </w:rPr>
        <w:t>Suy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HĐTD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vay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vay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316C" w:rsidRPr="00565AE3" w:rsidRDefault="0094316C" w:rsidP="0094316C">
      <w:pPr>
        <w:pStyle w:val="ListParagraph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AE3">
        <w:rPr>
          <w:rFonts w:ascii="Times New Roman" w:hAnsi="Times New Roman" w:cs="Times New Roman"/>
          <w:i/>
          <w:sz w:val="28"/>
          <w:szCs w:val="28"/>
        </w:rPr>
        <w:t>Thứ</w:t>
      </w:r>
      <w:proofErr w:type="spellEnd"/>
      <w:r w:rsidRPr="00565A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i/>
          <w:sz w:val="28"/>
          <w:szCs w:val="28"/>
        </w:rPr>
        <w:t>hai</w:t>
      </w:r>
      <w:proofErr w:type="spellEnd"/>
      <w:r w:rsidRPr="00565AE3">
        <w:rPr>
          <w:rFonts w:ascii="Times New Roman" w:hAnsi="Times New Roman" w:cs="Times New Roman"/>
          <w:i/>
          <w:sz w:val="28"/>
          <w:szCs w:val="28"/>
        </w:rPr>
        <w:t>,</w:t>
      </w:r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HĐTD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5AE3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vay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5AE3">
        <w:rPr>
          <w:rFonts w:ascii="Times New Roman" w:hAnsi="Times New Roman" w:cs="Times New Roman"/>
          <w:sz w:val="28"/>
          <w:szCs w:val="28"/>
        </w:rPr>
        <w:t>kia</w:t>
      </w:r>
      <w:proofErr w:type="spellEnd"/>
      <w:proofErr w:type="gram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mãn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vay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>.</w:t>
      </w:r>
    </w:p>
    <w:p w:rsidR="0094316C" w:rsidRPr="00565AE3" w:rsidRDefault="0094316C" w:rsidP="0094316C">
      <w:pPr>
        <w:pStyle w:val="ListParagraph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AE3">
        <w:rPr>
          <w:rFonts w:ascii="Times New Roman" w:hAnsi="Times New Roman" w:cs="Times New Roman"/>
          <w:i/>
          <w:sz w:val="28"/>
          <w:szCs w:val="28"/>
        </w:rPr>
        <w:t>Thứ</w:t>
      </w:r>
      <w:proofErr w:type="spellEnd"/>
      <w:r w:rsidRPr="00565A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i/>
          <w:sz w:val="28"/>
          <w:szCs w:val="28"/>
        </w:rPr>
        <w:t>ba</w:t>
      </w:r>
      <w:proofErr w:type="spellEnd"/>
      <w:r w:rsidRPr="00565AE3">
        <w:rPr>
          <w:rFonts w:ascii="Times New Roman" w:hAnsi="Times New Roman" w:cs="Times New Roman"/>
          <w:i/>
          <w:sz w:val="28"/>
          <w:szCs w:val="28"/>
        </w:rPr>
        <w:t>,</w:t>
      </w:r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tệ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316C" w:rsidRPr="00565AE3" w:rsidRDefault="0094316C" w:rsidP="0094316C">
      <w:pPr>
        <w:pStyle w:val="ListParagraph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5AE3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5AE3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vay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vay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>.</w:t>
      </w:r>
    </w:p>
    <w:p w:rsidR="0094316C" w:rsidRPr="00565AE3" w:rsidRDefault="0094316C" w:rsidP="0094316C">
      <w:pPr>
        <w:pStyle w:val="ListParagraph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5AE3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vay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nợ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đáo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>.</w:t>
      </w:r>
    </w:p>
    <w:p w:rsidR="0094316C" w:rsidRPr="00565AE3" w:rsidRDefault="0094316C" w:rsidP="0094316C">
      <w:pPr>
        <w:pStyle w:val="ListParagraph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sót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16C" w:rsidRPr="00565AE3" w:rsidRDefault="0094316C" w:rsidP="0094316C">
      <w:pPr>
        <w:pStyle w:val="ListParagraph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65AE3">
        <w:rPr>
          <w:rFonts w:ascii="Times New Roman" w:hAnsi="Times New Roman" w:cs="Times New Roman"/>
          <w:sz w:val="28"/>
          <w:szCs w:val="28"/>
        </w:rPr>
        <w:lastRenderedPageBreak/>
        <w:t>Tranh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5AE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316C" w:rsidRPr="00565AE3" w:rsidRDefault="0094316C" w:rsidP="0094316C">
      <w:pPr>
        <w:pStyle w:val="ListParagraph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65AE3">
        <w:rPr>
          <w:rFonts w:ascii="Times New Roman" w:hAnsi="Times New Roman" w:cs="Times New Roman"/>
          <w:i/>
          <w:sz w:val="28"/>
          <w:szCs w:val="28"/>
        </w:rPr>
        <w:t>Thứ</w:t>
      </w:r>
      <w:proofErr w:type="spellEnd"/>
      <w:r w:rsidRPr="00565A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i/>
          <w:sz w:val="28"/>
          <w:szCs w:val="28"/>
        </w:rPr>
        <w:t>tư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HĐTD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vay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vay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5AE3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nòng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cốt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HĐTD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E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65AE3">
        <w:rPr>
          <w:rFonts w:ascii="Times New Roman" w:hAnsi="Times New Roman" w:cs="Times New Roman"/>
          <w:sz w:val="28"/>
          <w:szCs w:val="28"/>
        </w:rPr>
        <w:t xml:space="preserve"> TCTD.</w:t>
      </w:r>
      <w:proofErr w:type="gramEnd"/>
    </w:p>
    <w:p w:rsidR="00AD3EB4" w:rsidRDefault="00AD3EB4"/>
    <w:sectPr w:rsidR="00AD3E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6C"/>
    <w:rsid w:val="0094316C"/>
    <w:rsid w:val="00AD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16C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16C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i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316C"/>
    <w:rPr>
      <w:rFonts w:ascii="Times New Roman" w:eastAsiaTheme="majorEastAsia" w:hAnsi="Times New Roman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4316C"/>
    <w:rPr>
      <w:rFonts w:ascii="Times New Roman" w:eastAsiaTheme="majorEastAsia" w:hAnsi="Times New Roman" w:cstheme="majorBidi"/>
      <w:b/>
      <w:bCs/>
      <w:i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94316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16C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16C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i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316C"/>
    <w:rPr>
      <w:rFonts w:ascii="Times New Roman" w:eastAsiaTheme="majorEastAsia" w:hAnsi="Times New Roman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4316C"/>
    <w:rPr>
      <w:rFonts w:ascii="Times New Roman" w:eastAsiaTheme="majorEastAsia" w:hAnsi="Times New Roman" w:cstheme="majorBidi"/>
      <w:b/>
      <w:bCs/>
      <w:i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94316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2020-05-18T14:45:00Z</dcterms:created>
  <dcterms:modified xsi:type="dcterms:W3CDTF">2020-05-18T14:46:00Z</dcterms:modified>
</cp:coreProperties>
</file>