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31" w:rsidRDefault="009B3631" w:rsidP="009B3631">
      <w:pPr>
        <w:tabs>
          <w:tab w:val="left" w:pos="910"/>
          <w:tab w:val="left" w:pos="1358"/>
          <w:tab w:val="left" w:pos="1512"/>
        </w:tabs>
        <w:spacing w:after="0" w:line="360" w:lineRule="auto"/>
        <w:ind w:firstLine="630"/>
        <w:jc w:val="center"/>
        <w:rPr>
          <w:rFonts w:ascii="Times New Roman" w:hAnsi="Times New Roman" w:cs="Times New Roman"/>
          <w:b/>
          <w:color w:val="000000" w:themeColor="text1"/>
          <w:sz w:val="28"/>
          <w:szCs w:val="28"/>
        </w:rPr>
      </w:pPr>
      <w:r w:rsidRPr="006550C4">
        <w:rPr>
          <w:rFonts w:ascii="Times New Roman" w:hAnsi="Times New Roman" w:cs="Times New Roman"/>
          <w:b/>
          <w:color w:val="000000" w:themeColor="text1"/>
          <w:sz w:val="28"/>
          <w:szCs w:val="28"/>
        </w:rPr>
        <w:t>NHỮNG ĐIỂM MỚI CỦA BỘ LUẬT TỐ TỤNG HÌNH SỰ 2015 VỀ TÒA ÁN TRẢ HỒ SƠ ĐỂ ĐIỀU TRA BỔ SUNG</w:t>
      </w:r>
      <w:bookmarkStart w:id="0" w:name="_GoBack"/>
      <w:bookmarkEnd w:id="0"/>
    </w:p>
    <w:p w:rsidR="009B3631" w:rsidRPr="009B3631" w:rsidRDefault="009B3631" w:rsidP="009B3631">
      <w:pPr>
        <w:tabs>
          <w:tab w:val="left" w:pos="910"/>
          <w:tab w:val="left" w:pos="1358"/>
          <w:tab w:val="left" w:pos="1512"/>
        </w:tabs>
        <w:spacing w:after="0" w:line="360" w:lineRule="auto"/>
        <w:ind w:firstLine="63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Hoàng Thị Quyên</w:t>
      </w:r>
    </w:p>
    <w:p w:rsidR="009B3631" w:rsidRDefault="009B3631" w:rsidP="009B3631">
      <w:pPr>
        <w:pStyle w:val="cs95e872d0"/>
        <w:shd w:val="clear" w:color="auto" w:fill="FFFFFF"/>
        <w:spacing w:before="0" w:beforeAutospacing="0" w:after="0" w:afterAutospacing="0" w:line="360" w:lineRule="auto"/>
        <w:ind w:firstLine="360"/>
        <w:jc w:val="both"/>
        <w:rPr>
          <w:rFonts w:eastAsiaTheme="minorEastAsia"/>
          <w:b/>
          <w:bCs/>
          <w:i/>
          <w:sz w:val="28"/>
          <w:szCs w:val="28"/>
          <w:lang w:eastAsia="ja-JP"/>
        </w:rPr>
      </w:pPr>
      <w:r>
        <w:rPr>
          <w:rFonts w:eastAsiaTheme="minorEastAsia"/>
          <w:b/>
          <w:bCs/>
          <w:i/>
          <w:sz w:val="28"/>
          <w:szCs w:val="28"/>
          <w:lang w:eastAsia="ja-JP"/>
        </w:rPr>
        <w:t xml:space="preserve">3. </w:t>
      </w:r>
      <w:r>
        <w:rPr>
          <w:rFonts w:eastAsiaTheme="minorEastAsia"/>
          <w:b/>
          <w:bCs/>
          <w:i/>
          <w:sz w:val="28"/>
          <w:szCs w:val="28"/>
          <w:lang w:eastAsia="ja-JP"/>
        </w:rPr>
        <w:t xml:space="preserve">Những điểm </w:t>
      </w:r>
      <w:r w:rsidRPr="001D7BE8">
        <w:rPr>
          <w:rFonts w:eastAsiaTheme="minorEastAsia"/>
          <w:b/>
          <w:bCs/>
          <w:i/>
          <w:sz w:val="28"/>
          <w:szCs w:val="28"/>
          <w:lang w:eastAsia="ja-JP"/>
        </w:rPr>
        <w:t>mới của Bộ luật tố tụng hình sự 2015 về Tòa án trả hồ sơ điều tra bổ sung</w:t>
      </w:r>
    </w:p>
    <w:p w:rsidR="009B3631" w:rsidRPr="004B2FA5" w:rsidRDefault="009B3631" w:rsidP="009B3631">
      <w:pPr>
        <w:pStyle w:val="cs95e872d0"/>
        <w:shd w:val="clear" w:color="auto" w:fill="FFFFFF"/>
        <w:spacing w:before="0" w:beforeAutospacing="0" w:after="0" w:afterAutospacing="0" w:line="360" w:lineRule="auto"/>
        <w:ind w:left="180" w:firstLine="540"/>
        <w:jc w:val="both"/>
        <w:rPr>
          <w:rFonts w:eastAsiaTheme="minorEastAsia"/>
          <w:b/>
          <w:bCs/>
          <w:i/>
          <w:sz w:val="28"/>
          <w:szCs w:val="28"/>
          <w:lang w:eastAsia="ja-JP"/>
        </w:rPr>
      </w:pPr>
      <w:r w:rsidRPr="004B2FA5">
        <w:rPr>
          <w:rFonts w:eastAsiaTheme="minorEastAsia"/>
          <w:bCs/>
          <w:sz w:val="28"/>
          <w:szCs w:val="28"/>
          <w:lang w:eastAsia="ja-JP"/>
        </w:rPr>
        <w:t>Kế thừa các quy định về trả hồ sơ để</w:t>
      </w:r>
      <w:r w:rsidRPr="004B2FA5">
        <w:rPr>
          <w:bCs/>
          <w:sz w:val="28"/>
          <w:szCs w:val="28"/>
        </w:rPr>
        <w:t>ĐTBS</w:t>
      </w:r>
      <w:r w:rsidRPr="004B2FA5">
        <w:rPr>
          <w:rFonts w:eastAsiaTheme="minorEastAsia"/>
          <w:bCs/>
          <w:sz w:val="28"/>
          <w:szCs w:val="28"/>
          <w:lang w:eastAsia="ja-JP"/>
        </w:rPr>
        <w:t xml:space="preserve"> trong BLTTHS năm 2003 (điểm g khoản 2, khoản 3 Điều 36; điểm b khoản 2 Điều 39; khoản 2 Điều 121; Điều 168; điểm b khoản 2 Điều 176; Điều 179; khoản 2 Điều 199) và Thông tư liên tịch số 01/2010/TTLT-VKSNDTC-BCA-TANDTC ngày 27/8/2010 hướng dẫn thi hành các quy định của BLTTHS về trả hồ sơ để</w:t>
      </w:r>
      <w:r w:rsidRPr="004B2FA5">
        <w:rPr>
          <w:bCs/>
          <w:sz w:val="28"/>
          <w:szCs w:val="28"/>
        </w:rPr>
        <w:t>ĐTBS</w:t>
      </w:r>
      <w:r w:rsidRPr="004B2FA5">
        <w:rPr>
          <w:rFonts w:eastAsiaTheme="minorEastAsia"/>
          <w:bCs/>
          <w:sz w:val="28"/>
          <w:szCs w:val="28"/>
          <w:lang w:eastAsia="ja-JP"/>
        </w:rPr>
        <w:t xml:space="preserve"> (Thông tư liên tịch số 01/2010). Bộ luật TTHS năm 2015, tiếp tục quy định chế định này tại điểm m khoản 2 Điều 41; điểm b khoản 2 Điều 45; khoản 2 Điều 174; khoản 5 Điều 236; Điều 245; Điều 246; Điều 280.</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sz w:val="28"/>
          <w:szCs w:val="28"/>
          <w:lang w:eastAsia="ja-JP"/>
        </w:rPr>
        <w:t xml:space="preserve">Những trường hợp mà Tòa án ra quyết định trả hồ sơ cho VKS để </w:t>
      </w:r>
      <w:r w:rsidRPr="001D7BE8">
        <w:rPr>
          <w:bCs/>
          <w:sz w:val="28"/>
          <w:szCs w:val="28"/>
        </w:rPr>
        <w:t>ĐTBS</w:t>
      </w:r>
      <w:r>
        <w:rPr>
          <w:bCs/>
          <w:sz w:val="28"/>
          <w:szCs w:val="28"/>
          <w:lang w:val="vi-VN"/>
        </w:rPr>
        <w:t xml:space="preserve"> </w:t>
      </w:r>
      <w:r w:rsidRPr="001D7BE8">
        <w:rPr>
          <w:rFonts w:eastAsiaTheme="minorEastAsia"/>
          <w:bCs/>
          <w:sz w:val="28"/>
          <w:szCs w:val="28"/>
          <w:lang w:eastAsia="ja-JP"/>
        </w:rPr>
        <w:t xml:space="preserve">có tính chất tương tự so với việc VKS trả hồ sơ cho cơ quan điều tra để </w:t>
      </w:r>
      <w:r w:rsidRPr="001D7BE8">
        <w:rPr>
          <w:bCs/>
          <w:sz w:val="28"/>
          <w:szCs w:val="28"/>
        </w:rPr>
        <w:t>ĐTBS</w:t>
      </w:r>
      <w:r w:rsidRPr="001D7BE8">
        <w:rPr>
          <w:rFonts w:eastAsiaTheme="minorEastAsia"/>
          <w:bCs/>
          <w:sz w:val="28"/>
          <w:szCs w:val="28"/>
          <w:lang w:eastAsia="ja-JP"/>
        </w:rPr>
        <w:t>.Tuy nhiên việc trả hồ sơ</w:t>
      </w:r>
      <w:r>
        <w:rPr>
          <w:rFonts w:eastAsiaTheme="minorEastAsia"/>
          <w:bCs/>
          <w:sz w:val="28"/>
          <w:szCs w:val="28"/>
          <w:lang w:eastAsia="ja-JP"/>
        </w:rPr>
        <w:t xml:space="preserve"> ĐTBS dẫn đến</w:t>
      </w:r>
      <w:r w:rsidRPr="001D7BE8">
        <w:rPr>
          <w:rFonts w:eastAsiaTheme="minorEastAsia"/>
          <w:bCs/>
          <w:sz w:val="28"/>
          <w:szCs w:val="28"/>
          <w:lang w:eastAsia="ja-JP"/>
        </w:rPr>
        <w:t xml:space="preserve"> các trường hợp sau:</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t>Thứ nhất,</w:t>
      </w:r>
      <w:r w:rsidRPr="001D7BE8">
        <w:rPr>
          <w:rFonts w:eastAsiaTheme="minorEastAsia"/>
          <w:bCs/>
          <w:sz w:val="28"/>
          <w:szCs w:val="28"/>
          <w:lang w:eastAsia="ja-JP"/>
        </w:rPr>
        <w:t xml:space="preserve"> nếu kết quả </w:t>
      </w:r>
      <w:r w:rsidRPr="001D7BE8">
        <w:rPr>
          <w:bCs/>
          <w:sz w:val="28"/>
          <w:szCs w:val="28"/>
        </w:rPr>
        <w:t>ĐTBS</w:t>
      </w:r>
      <w:r>
        <w:rPr>
          <w:bCs/>
          <w:sz w:val="28"/>
          <w:szCs w:val="28"/>
          <w:lang w:val="vi-VN"/>
        </w:rPr>
        <w:t xml:space="preserve"> </w:t>
      </w:r>
      <w:r w:rsidRPr="001D7BE8">
        <w:rPr>
          <w:rFonts w:eastAsiaTheme="minorEastAsia"/>
          <w:bCs/>
          <w:sz w:val="28"/>
          <w:szCs w:val="28"/>
          <w:lang w:eastAsia="ja-JP"/>
        </w:rPr>
        <w:t>dẫn đến việc đình chỉ vụ án thì VKS ra quyết định đình chỉ vụ án và thông báo cho Tòa án biết trong thời hạn 3 ngày kể từ ngày ra quyết định, căn cứ ra quyết định đình chỉ quy định tại Điều 248 Bộ luật tố tụng hình sự 2015.</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t>Thứ hai,</w:t>
      </w:r>
      <w:r w:rsidRPr="001D7BE8">
        <w:rPr>
          <w:rFonts w:eastAsiaTheme="minorEastAsia"/>
          <w:bCs/>
          <w:sz w:val="28"/>
          <w:szCs w:val="28"/>
          <w:lang w:eastAsia="ja-JP"/>
        </w:rPr>
        <w:t xml:space="preserve"> nếu kết quả </w:t>
      </w:r>
      <w:r w:rsidRPr="001D7BE8">
        <w:rPr>
          <w:bCs/>
          <w:sz w:val="28"/>
          <w:szCs w:val="28"/>
        </w:rPr>
        <w:t>ĐTBS</w:t>
      </w:r>
      <w:r w:rsidRPr="001D7BE8">
        <w:rPr>
          <w:rFonts w:eastAsiaTheme="minorEastAsia"/>
          <w:bCs/>
          <w:sz w:val="28"/>
          <w:szCs w:val="28"/>
          <w:lang w:eastAsia="ja-JP"/>
        </w:rPr>
        <w:t>dẫn tới phải thay đổi quyết định truy tố thì VKS ban hành bản cáo trạng mới thay thế bản cáo trạng trước đó. Trường hợp VKS không thể bổ sung được thì vẫn giữ nguyên quyết định truy tố trước đó và Tòa án tiến hành xét xử.</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lastRenderedPageBreak/>
        <w:t>Thứ ba,</w:t>
      </w:r>
      <w:r w:rsidRPr="001D7BE8">
        <w:rPr>
          <w:rFonts w:eastAsiaTheme="minorEastAsia"/>
          <w:bCs/>
          <w:sz w:val="28"/>
          <w:szCs w:val="28"/>
          <w:lang w:eastAsia="ja-JP"/>
        </w:rPr>
        <w:t xml:space="preserve"> nếu xét thấy không cần thiết phải trả hồ sơ cho CQĐT thì VKS có thể tự mình tiến hành một số hoạt động </w:t>
      </w:r>
      <w:r w:rsidRPr="001D7BE8">
        <w:rPr>
          <w:bCs/>
          <w:sz w:val="28"/>
          <w:szCs w:val="28"/>
        </w:rPr>
        <w:t>ĐTBS</w:t>
      </w:r>
      <w:r w:rsidRPr="001D7BE8">
        <w:rPr>
          <w:rFonts w:eastAsiaTheme="minorEastAsia"/>
          <w:bCs/>
          <w:sz w:val="28"/>
          <w:szCs w:val="28"/>
          <w:lang w:eastAsia="ja-JP"/>
        </w:rPr>
        <w:t>sung tài liệu, chứng cứ bị thiếu. Nếu không tự mình điều tra được thì VKS chuyển ngay hồ sơ cho CQĐT. Điều này khác với quy định của BLTTHS 2003  vì bộ luật này không quy định rõ trình tự trả hồ sơ vụ án của Tòa án cho VKS và VKS có thể tiếp tục trả hồ sơ cho CQĐT.</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t>Thứ tư,</w:t>
      </w:r>
      <w:r w:rsidRPr="001D7BE8">
        <w:rPr>
          <w:rFonts w:eastAsiaTheme="minorEastAsia"/>
          <w:bCs/>
          <w:sz w:val="28"/>
          <w:szCs w:val="28"/>
          <w:lang w:eastAsia="ja-JP"/>
        </w:rPr>
        <w:t xml:space="preserve"> nếu quyết định trả hồ sơ để điều tra bổ sung không có căn cứ thì VKS có văn bản nêu rõ lý do, giữ nguyên quyết định truy tố và chuyển lại hồ sơ cho Tòa án.</w:t>
      </w:r>
    </w:p>
    <w:p w:rsidR="009B3631" w:rsidRPr="001D7BE8" w:rsidRDefault="009B3631" w:rsidP="009B3631">
      <w:pPr>
        <w:pStyle w:val="cs95e872d0"/>
        <w:shd w:val="clear" w:color="auto" w:fill="FFFFFF"/>
        <w:spacing w:after="0" w:line="360" w:lineRule="auto"/>
        <w:jc w:val="both"/>
        <w:rPr>
          <w:rFonts w:eastAsiaTheme="minorEastAsia"/>
          <w:bCs/>
          <w:sz w:val="28"/>
          <w:szCs w:val="28"/>
          <w:lang w:eastAsia="ja-JP"/>
        </w:rPr>
      </w:pPr>
      <w:r w:rsidRPr="001D7BE8">
        <w:rPr>
          <w:rFonts w:eastAsiaTheme="minorEastAsia"/>
          <w:bCs/>
          <w:sz w:val="28"/>
          <w:szCs w:val="28"/>
          <w:lang w:eastAsia="ja-JP"/>
        </w:rPr>
        <w:t xml:space="preserve">Về thời hạn để </w:t>
      </w:r>
      <w:r w:rsidRPr="001D7BE8">
        <w:rPr>
          <w:bCs/>
          <w:sz w:val="28"/>
          <w:szCs w:val="28"/>
        </w:rPr>
        <w:t>ĐTBS</w:t>
      </w:r>
      <w:r w:rsidRPr="001D7BE8">
        <w:rPr>
          <w:rFonts w:eastAsiaTheme="minorEastAsia"/>
          <w:bCs/>
          <w:sz w:val="28"/>
          <w:szCs w:val="28"/>
          <w:lang w:eastAsia="ja-JP"/>
        </w:rPr>
        <w:t xml:space="preserve">thì đối với vụ án do VKS yêu cầu, thời hạn </w:t>
      </w:r>
      <w:r w:rsidRPr="001D7BE8">
        <w:rPr>
          <w:bCs/>
          <w:sz w:val="28"/>
          <w:szCs w:val="28"/>
        </w:rPr>
        <w:t>ĐTBS</w:t>
      </w:r>
      <w:r w:rsidRPr="001D7BE8">
        <w:rPr>
          <w:rFonts w:eastAsiaTheme="minorEastAsia"/>
          <w:bCs/>
          <w:sz w:val="28"/>
          <w:szCs w:val="28"/>
          <w:lang w:eastAsia="ja-JP"/>
        </w:rPr>
        <w:t xml:space="preserve">không quá hai tháng, còn nếu do Tòa án yêu cầu </w:t>
      </w:r>
      <w:r w:rsidRPr="001D7BE8">
        <w:rPr>
          <w:bCs/>
          <w:sz w:val="28"/>
          <w:szCs w:val="28"/>
        </w:rPr>
        <w:t>ĐTBS</w:t>
      </w:r>
      <w:r w:rsidRPr="001D7BE8">
        <w:rPr>
          <w:rFonts w:eastAsiaTheme="minorEastAsia"/>
          <w:bCs/>
          <w:sz w:val="28"/>
          <w:szCs w:val="28"/>
          <w:lang w:eastAsia="ja-JP"/>
        </w:rPr>
        <w:t>thì thời hạn điều tra không quá 1 tháng, căn cứ quy định tại khoản 2 Điều 174 Bộ luật tố tụng hình sự 2015:</w:t>
      </w:r>
    </w:p>
    <w:p w:rsidR="009B3631" w:rsidRPr="001D7BE8" w:rsidRDefault="009B3631" w:rsidP="009B3631">
      <w:pPr>
        <w:pStyle w:val="cs95e872d0"/>
        <w:shd w:val="clear" w:color="auto" w:fill="FFFFFF"/>
        <w:spacing w:line="360" w:lineRule="auto"/>
        <w:ind w:firstLine="720"/>
        <w:jc w:val="both"/>
        <w:rPr>
          <w:rFonts w:eastAsiaTheme="minorEastAsia"/>
          <w:bCs/>
          <w:i/>
          <w:sz w:val="28"/>
          <w:szCs w:val="28"/>
          <w:lang w:eastAsia="ja-JP"/>
        </w:rPr>
      </w:pPr>
      <w:r w:rsidRPr="001D7BE8">
        <w:rPr>
          <w:rFonts w:eastAsiaTheme="minorEastAsia"/>
          <w:bCs/>
          <w:i/>
          <w:sz w:val="28"/>
          <w:szCs w:val="28"/>
          <w:lang w:eastAsia="ja-JP"/>
        </w:rPr>
        <w:t>"2. Trường hợp vụ án do Viện kiểm sát trả lại để yêu cầu điều tra bổ sung thì thời hạn điều tra bổ sung không quá 02 tháng; nếu do Tòa án trả lại để yêu cầu điều tra bổ sung thì thời hạn điều tra bổ sung không quá 01 tháng. Viện kiểm sát chỉ được trả lại hồ sơ để điều tra bổ sung hai lần. Thẩm phán chủ tọa phiên tòa chỉ được trả hồ sơ để điều tra bổ sung một lần và Hội đồng xét xử chỉ được trả hồ sơ để điều tra bổ sung một lần.</w:t>
      </w:r>
    </w:p>
    <w:p w:rsidR="009B3631" w:rsidRPr="001D7BE8" w:rsidRDefault="009B3631" w:rsidP="009B3631">
      <w:pPr>
        <w:pStyle w:val="cs95e872d0"/>
        <w:shd w:val="clear" w:color="auto" w:fill="FFFFFF"/>
        <w:spacing w:before="0" w:beforeAutospacing="0" w:after="0" w:afterAutospacing="0" w:line="360" w:lineRule="auto"/>
        <w:jc w:val="both"/>
        <w:rPr>
          <w:rFonts w:eastAsiaTheme="minorEastAsia"/>
          <w:bCs/>
          <w:i/>
          <w:sz w:val="28"/>
          <w:szCs w:val="28"/>
          <w:lang w:eastAsia="ja-JP"/>
        </w:rPr>
      </w:pPr>
      <w:r w:rsidRPr="001D7BE8">
        <w:rPr>
          <w:rFonts w:eastAsiaTheme="minorEastAsia"/>
          <w:bCs/>
          <w:i/>
          <w:sz w:val="28"/>
          <w:szCs w:val="28"/>
          <w:lang w:eastAsia="ja-JP"/>
        </w:rPr>
        <w:t>Thời hạn điều tra bổ sung tính từ ngày Cơ quan điều tra nhận lại hồ sơ vụ án và yêu cầu điều tra bổ sung”.</w:t>
      </w:r>
    </w:p>
    <w:p w:rsidR="009B3631" w:rsidRPr="001D7BE8" w:rsidRDefault="009B3631" w:rsidP="009B3631">
      <w:pPr>
        <w:pStyle w:val="cs95e872d0"/>
        <w:shd w:val="clear" w:color="auto" w:fill="FFFFFF"/>
        <w:spacing w:before="0" w:beforeAutospacing="0" w:after="0" w:afterAutospacing="0" w:line="360" w:lineRule="auto"/>
        <w:jc w:val="both"/>
        <w:rPr>
          <w:rFonts w:eastAsiaTheme="minorEastAsia"/>
          <w:bCs/>
          <w:sz w:val="28"/>
          <w:szCs w:val="28"/>
          <w:lang w:eastAsia="ja-JP"/>
        </w:rPr>
      </w:pPr>
      <w:r w:rsidRPr="001D7BE8">
        <w:rPr>
          <w:rFonts w:eastAsiaTheme="minorEastAsia"/>
          <w:bCs/>
          <w:sz w:val="28"/>
          <w:szCs w:val="28"/>
          <w:lang w:eastAsia="ja-JP"/>
        </w:rPr>
        <w:t xml:space="preserve"> Trong đó, có một số điểm mới cơ bản như sau:</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t>Một là,</w:t>
      </w:r>
      <w:r w:rsidRPr="001D7BE8">
        <w:rPr>
          <w:rFonts w:eastAsiaTheme="minorEastAsia"/>
          <w:bCs/>
          <w:sz w:val="28"/>
          <w:szCs w:val="28"/>
          <w:lang w:eastAsia="ja-JP"/>
        </w:rPr>
        <w:t xml:space="preserve"> về số lần trả hồ sơ để điều tra bổ sung, Bộ luật TTHS năm 2015 quy định “</w:t>
      </w:r>
      <w:r w:rsidRPr="001D7BE8">
        <w:rPr>
          <w:rFonts w:eastAsiaTheme="minorEastAsia"/>
          <w:bCs/>
          <w:i/>
          <w:sz w:val="28"/>
          <w:szCs w:val="28"/>
          <w:lang w:eastAsia="ja-JP"/>
        </w:rPr>
        <w:t xml:space="preserve">Thẩm phán chủ tọa phiên tòa chỉ được trả hồ sơ để điều tra bổ sung một lần </w:t>
      </w:r>
      <w:r w:rsidRPr="001D7BE8">
        <w:rPr>
          <w:rFonts w:eastAsiaTheme="minorEastAsia"/>
          <w:bCs/>
          <w:i/>
          <w:sz w:val="28"/>
          <w:szCs w:val="28"/>
          <w:lang w:eastAsia="ja-JP"/>
        </w:rPr>
        <w:lastRenderedPageBreak/>
        <w:t xml:space="preserve">và Hội đồng xét xử chỉ được trả hồ sơ để điều tra bổ sung một lần” </w:t>
      </w:r>
      <w:r w:rsidRPr="001D7BE8">
        <w:rPr>
          <w:rStyle w:val="FootnoteReference"/>
          <w:rFonts w:eastAsiaTheme="minorEastAsia"/>
          <w:bCs/>
          <w:sz w:val="28"/>
          <w:szCs w:val="28"/>
          <w:lang w:eastAsia="ja-JP"/>
        </w:rPr>
        <w:footnoteReference w:id="1"/>
      </w:r>
      <w:r w:rsidRPr="001D7BE8">
        <w:rPr>
          <w:rFonts w:eastAsiaTheme="minorEastAsia"/>
          <w:bCs/>
          <w:sz w:val="28"/>
          <w:szCs w:val="28"/>
          <w:lang w:eastAsia="ja-JP"/>
        </w:rPr>
        <w:t xml:space="preserve">đã giới hạn cụ thể trong giai đoạn chuẩn bị xét xử, Tòa án có quyền trả hồ sơ để </w:t>
      </w:r>
      <w:r w:rsidRPr="001D7BE8">
        <w:rPr>
          <w:bCs/>
          <w:sz w:val="28"/>
          <w:szCs w:val="28"/>
        </w:rPr>
        <w:t>ĐTBS</w:t>
      </w:r>
      <w:r w:rsidRPr="001D7BE8">
        <w:rPr>
          <w:rFonts w:eastAsiaTheme="minorEastAsia"/>
          <w:bCs/>
          <w:sz w:val="28"/>
          <w:szCs w:val="28"/>
          <w:lang w:eastAsia="ja-JP"/>
        </w:rPr>
        <w:t xml:space="preserve">một lần và tại phiên tòa, Tòa án có quyền trả hồ sơ để </w:t>
      </w:r>
      <w:r w:rsidRPr="001D7BE8">
        <w:rPr>
          <w:bCs/>
          <w:sz w:val="28"/>
          <w:szCs w:val="28"/>
        </w:rPr>
        <w:t>ĐTBS</w:t>
      </w:r>
      <w:r w:rsidRPr="001D7BE8">
        <w:rPr>
          <w:rFonts w:eastAsiaTheme="minorEastAsia"/>
          <w:bCs/>
          <w:sz w:val="28"/>
          <w:szCs w:val="28"/>
          <w:lang w:eastAsia="ja-JP"/>
        </w:rPr>
        <w:t xml:space="preserve">một lần. Quy định này thể hiện sự chặt chẽ hơn, tránh sự tùy tiện, lạm dụng việc trả hồ sơ để kéo dài thời gian giải quyết vụ án bởi vì theo quy định hiện hành Tòa án có quyền trả hồ sơ để </w:t>
      </w:r>
      <w:r w:rsidRPr="001D7BE8">
        <w:rPr>
          <w:bCs/>
          <w:sz w:val="28"/>
          <w:szCs w:val="28"/>
        </w:rPr>
        <w:t>ĐTBS</w:t>
      </w:r>
      <w:r w:rsidRPr="001D7BE8">
        <w:rPr>
          <w:rFonts w:eastAsiaTheme="minorEastAsia"/>
          <w:bCs/>
          <w:sz w:val="28"/>
          <w:szCs w:val="28"/>
          <w:lang w:eastAsia="ja-JP"/>
        </w:rPr>
        <w:t xml:space="preserve">hai lần điều đó có nghĩa là cả hai lần trả hồ sơ, Tòa án có thể quyết định trong giai đoạn chuẩn bị xét xử hoặc tại phiên tòa. Quy định này còn thể hiện sự phù hợp với nguyên tắc đảm bảo tranh tụng trong xét xử theo tinh thần của Nghị quyết số 49 của Bộ chính trị về chiến lược cải cách tư pháp đến năm 2020. Rõ ràng, theo quy định của pháp luật hiện hành, nếu như Tòa án đã trả hồ sơ hai lần trong giai đoạn chuẩn bị xét xử thì kết quả điều tra công khai tại phiên tòa sẽ không có ý nghĩa với việc trả hồ sơ để điều tra bổ sung nữa vì Tòa án đã hết số lần trả hồ sơ để </w:t>
      </w:r>
      <w:r w:rsidRPr="001D7BE8">
        <w:rPr>
          <w:bCs/>
          <w:sz w:val="28"/>
          <w:szCs w:val="28"/>
        </w:rPr>
        <w:t>ĐTBS</w:t>
      </w:r>
      <w:r w:rsidRPr="001D7BE8">
        <w:rPr>
          <w:rFonts w:eastAsiaTheme="minorEastAsia"/>
          <w:bCs/>
          <w:sz w:val="28"/>
          <w:szCs w:val="28"/>
          <w:lang w:eastAsia="ja-JP"/>
        </w:rPr>
        <w:t xml:space="preserve"> ,quy định mới này trong BLTTHS năm 2015 đã khắc phục được bất cập nêu trên góp phần đảm bảo tốt hơn nguyên tắc tranh tụng tại phiên tòa.</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t>Hai là,</w:t>
      </w:r>
      <w:r w:rsidRPr="001D7BE8">
        <w:rPr>
          <w:rFonts w:eastAsiaTheme="minorEastAsia"/>
          <w:bCs/>
          <w:sz w:val="28"/>
          <w:szCs w:val="28"/>
          <w:lang w:eastAsia="ja-JP"/>
        </w:rPr>
        <w:t xml:space="preserve"> so với Bộ luật Tố tụng hình sự năm 2003 hiện hành, Bộ luật Tố tụng hình sự năm 2015 đã quy định rõ hơn Quyết định trả hồ sơ cho CQĐT để yêu cầu </w:t>
      </w:r>
      <w:r w:rsidRPr="001D7BE8">
        <w:rPr>
          <w:bCs/>
          <w:sz w:val="28"/>
          <w:szCs w:val="28"/>
        </w:rPr>
        <w:t>ĐTBS</w:t>
      </w:r>
      <w:r w:rsidRPr="001D7BE8">
        <w:rPr>
          <w:rFonts w:eastAsiaTheme="minorEastAsia"/>
          <w:bCs/>
          <w:sz w:val="28"/>
          <w:szCs w:val="28"/>
          <w:lang w:eastAsia="ja-JP"/>
        </w:rPr>
        <w:t>là một trong những nhiệm vụ, quyền hạn của VKS khi thực hành quyền công tố trong giai đoạn truy tố theo quy định khoản 5 Điều 236, thể hiện sự phân định rõ ràng giữa chức năng thực hành quyền công tố và chức năng kiểm sát hoạt động tư pháp đồng thời thể hiện sự phù hợp với khoản 4 Điều 16 Luật Tổ chức Viện kiểm sát nhân dân năm 2014, tạo sự thống nhất của hệ thống pháp luật.</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t>Ba là,</w:t>
      </w:r>
      <w:r w:rsidRPr="001D7BE8">
        <w:rPr>
          <w:rFonts w:eastAsiaTheme="minorEastAsia"/>
          <w:bCs/>
          <w:sz w:val="28"/>
          <w:szCs w:val="28"/>
          <w:lang w:eastAsia="ja-JP"/>
        </w:rPr>
        <w:t xml:space="preserve"> về căn cứ trả hồ sơ </w:t>
      </w:r>
      <w:r w:rsidRPr="001D7BE8">
        <w:rPr>
          <w:bCs/>
          <w:sz w:val="28"/>
          <w:szCs w:val="28"/>
        </w:rPr>
        <w:t>ĐTBS</w:t>
      </w:r>
      <w:r w:rsidRPr="001D7BE8">
        <w:rPr>
          <w:rFonts w:eastAsiaTheme="minorEastAsia"/>
          <w:bCs/>
          <w:sz w:val="28"/>
          <w:szCs w:val="28"/>
          <w:lang w:eastAsia="ja-JP"/>
        </w:rPr>
        <w:t xml:space="preserve"> , Bộ luật TTHS 2015 quy định gồm có bốn căn cứ theo khoản 1 Điều 245 và khoản 1 Điều 280 (về số lượng thì nhiều hơn một căn cứ so với Bộ luật TTHS năm 2003 hiện hành).</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sz w:val="28"/>
          <w:szCs w:val="28"/>
          <w:lang w:eastAsia="ja-JP"/>
        </w:rPr>
        <w:lastRenderedPageBreak/>
        <w:t xml:space="preserve">Điểm b khoản 1 Điều 245 Bộ luật TTHS năm 2015 quy </w:t>
      </w:r>
      <w:r w:rsidRPr="001D7BE8">
        <w:rPr>
          <w:rFonts w:eastAsiaTheme="minorEastAsia"/>
          <w:bCs/>
          <w:i/>
          <w:sz w:val="28"/>
          <w:szCs w:val="28"/>
          <w:lang w:eastAsia="ja-JP"/>
        </w:rPr>
        <w:t>định “Có căn cứ khởi tố bị can về một hay nhiều tội phạm khác”</w:t>
      </w:r>
      <w:r w:rsidRPr="001D7BE8">
        <w:rPr>
          <w:rFonts w:eastAsiaTheme="minorEastAsia"/>
          <w:bCs/>
          <w:sz w:val="28"/>
          <w:szCs w:val="28"/>
          <w:lang w:eastAsia="ja-JP"/>
        </w:rPr>
        <w:t xml:space="preserve">, về mặt diễn đạt điều luật bổ sung cụm từ “một hay nhiều” so với Bộ luật TTHS 2003 chỉ quy định </w:t>
      </w:r>
      <w:r w:rsidRPr="001D7BE8">
        <w:rPr>
          <w:rFonts w:eastAsiaTheme="minorEastAsia"/>
          <w:bCs/>
          <w:i/>
          <w:sz w:val="28"/>
          <w:szCs w:val="28"/>
          <w:lang w:eastAsia="ja-JP"/>
        </w:rPr>
        <w:t>“có căn cứ để khởi tố bị can về một tội phạm khác”</w:t>
      </w:r>
      <w:r w:rsidRPr="001D7BE8">
        <w:rPr>
          <w:rFonts w:eastAsiaTheme="minorEastAsia"/>
          <w:bCs/>
          <w:sz w:val="28"/>
          <w:szCs w:val="28"/>
          <w:lang w:eastAsia="ja-JP"/>
        </w:rPr>
        <w:t xml:space="preserve"> đã thể hiện sự chính xác về kỹ thuật xây dựng văn bản. Rõ ràng, nếu hiểu theo Bộ luật TTHS hiện hành thì chưa bao quát được hết các trường hợp như ngoài tội phạm mà bị can thực hiện đã được khởi tố, điều tra đến thời điểm truy tố phát hiện bị can còn thực hiện từ hai tội phạm khác trở lên thì đây cũng chính là căn cứ để VKS ra Quyết định trả hồ sơ cho Cơ quan điều tra để </w:t>
      </w:r>
      <w:r w:rsidRPr="001D7BE8">
        <w:rPr>
          <w:bCs/>
          <w:sz w:val="28"/>
          <w:szCs w:val="28"/>
        </w:rPr>
        <w:t>ĐTBS</w:t>
      </w:r>
      <w:r w:rsidRPr="001D7BE8">
        <w:rPr>
          <w:rFonts w:eastAsiaTheme="minorEastAsia"/>
          <w:bCs/>
          <w:sz w:val="28"/>
          <w:szCs w:val="28"/>
          <w:lang w:eastAsia="ja-JP"/>
        </w:rPr>
        <w:t>.</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sz w:val="28"/>
          <w:szCs w:val="28"/>
          <w:lang w:eastAsia="ja-JP"/>
        </w:rPr>
        <w:t xml:space="preserve">Điểm c khoản 1 Điều 245 và điểm c khoản 1 Điều 280 Bộ luật TTHS 2015 quy định </w:t>
      </w:r>
      <w:r w:rsidRPr="001D7BE8">
        <w:rPr>
          <w:rFonts w:eastAsiaTheme="minorEastAsia"/>
          <w:bCs/>
          <w:i/>
          <w:sz w:val="28"/>
          <w:szCs w:val="28"/>
          <w:lang w:eastAsia="ja-JP"/>
        </w:rPr>
        <w:t>“Có người đồng phạm hoặc người phạm tội khác liên quan đến vụ án nhưng chưa được khởi tố vụ án, khởi tố bị can”</w:t>
      </w:r>
      <w:r w:rsidRPr="001D7BE8">
        <w:rPr>
          <w:rFonts w:eastAsiaTheme="minorEastAsia"/>
          <w:bCs/>
          <w:sz w:val="28"/>
          <w:szCs w:val="28"/>
          <w:lang w:eastAsia="ja-JP"/>
        </w:rPr>
        <w:t xml:space="preserve">. Như vậy, so với quy định của Bộ luật TTHS 2003 thì các nhà làm luật đã bổ sung thêm căn cứ nếu có người phạm tội khác liên quan đến vụ án nhưng chưa được khởi tố vụ án, khởi tố bị can thì cũng được xem là căn cứ để Tòa án, VKS trả hồ sơ để </w:t>
      </w:r>
      <w:r w:rsidRPr="001D7BE8">
        <w:rPr>
          <w:bCs/>
          <w:sz w:val="28"/>
          <w:szCs w:val="28"/>
        </w:rPr>
        <w:t>ĐTBS</w:t>
      </w:r>
      <w:r w:rsidRPr="001D7BE8">
        <w:rPr>
          <w:rFonts w:eastAsiaTheme="minorEastAsia"/>
          <w:bCs/>
          <w:sz w:val="28"/>
          <w:szCs w:val="28"/>
          <w:lang w:eastAsia="ja-JP"/>
        </w:rPr>
        <w:t>. Quy định mới này cũng đặt ra yêu cầu tiếp tục xây dựng các văn bản dưới luật có nhiệm vụ cụ thể hóa, chi tiết hóa đảm bảo áp dụng pháp luật được đúng đắn, thống nhất</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t>Bốn là,</w:t>
      </w:r>
      <w:r w:rsidRPr="001D7BE8">
        <w:rPr>
          <w:rFonts w:eastAsiaTheme="minorEastAsia"/>
          <w:bCs/>
          <w:sz w:val="28"/>
          <w:szCs w:val="28"/>
          <w:lang w:eastAsia="ja-JP"/>
        </w:rPr>
        <w:t xml:space="preserve"> về hình thức của Quyết định trả hồ sơ để </w:t>
      </w:r>
      <w:r w:rsidRPr="001D7BE8">
        <w:rPr>
          <w:bCs/>
          <w:sz w:val="28"/>
          <w:szCs w:val="28"/>
        </w:rPr>
        <w:t>ĐTBS</w:t>
      </w:r>
      <w:r w:rsidRPr="001D7BE8">
        <w:rPr>
          <w:rFonts w:eastAsiaTheme="minorEastAsia"/>
          <w:bCs/>
          <w:sz w:val="28"/>
          <w:szCs w:val="28"/>
          <w:lang w:eastAsia="ja-JP"/>
        </w:rPr>
        <w:t xml:space="preserve">và việc CQĐT thực hiện Quyết định trả hồ sơ để </w:t>
      </w:r>
      <w:r w:rsidRPr="001D7BE8">
        <w:rPr>
          <w:bCs/>
          <w:sz w:val="28"/>
          <w:szCs w:val="28"/>
        </w:rPr>
        <w:t>ĐTBS</w:t>
      </w:r>
      <w:r w:rsidRPr="001D7BE8">
        <w:rPr>
          <w:rFonts w:eastAsiaTheme="minorEastAsia"/>
          <w:bCs/>
          <w:sz w:val="28"/>
          <w:szCs w:val="28"/>
          <w:lang w:eastAsia="ja-JP"/>
        </w:rPr>
        <w:t>được cụ thể hóa ở Thông tư liên tịch số 01/2010 đã được luật hóa trong Bộ luật TTHS năm 2015. Điều đó thể hiện một bước tiến mới trong lịch sử lập pháp TTHS, một sự quan tâm đúng mức hơn của Đảng, nhà nước ta đối với công tác điều tra vụ án hình sự phải đảm bảo được tính chính xác, khách quan, toàn diện và đúng pháp luật. Khi có căn cứ trả hồ sơ để điều tra bổ sung thì trách nhiệm thực hiện các yêu cầu của CQĐT  là bắt buộc, quy định trong Bộ luật TTHS có tính ràng buộc cao hơn.</w:t>
      </w:r>
    </w:p>
    <w:p w:rsidR="009B3631" w:rsidRPr="001D7BE8" w:rsidRDefault="009B3631" w:rsidP="009B3631">
      <w:pPr>
        <w:pStyle w:val="cs95e872d0"/>
        <w:shd w:val="clear" w:color="auto" w:fill="FFFFFF"/>
        <w:spacing w:after="0" w:line="360" w:lineRule="auto"/>
        <w:ind w:firstLine="720"/>
        <w:jc w:val="both"/>
        <w:rPr>
          <w:rFonts w:eastAsiaTheme="minorEastAsia"/>
          <w:bCs/>
          <w:sz w:val="28"/>
          <w:szCs w:val="28"/>
          <w:lang w:eastAsia="ja-JP"/>
        </w:rPr>
      </w:pPr>
      <w:r w:rsidRPr="001D7BE8">
        <w:rPr>
          <w:rFonts w:eastAsiaTheme="minorEastAsia"/>
          <w:bCs/>
          <w:i/>
          <w:sz w:val="28"/>
          <w:szCs w:val="28"/>
          <w:lang w:eastAsia="ja-JP"/>
        </w:rPr>
        <w:lastRenderedPageBreak/>
        <w:t>Năm là,</w:t>
      </w:r>
      <w:r w:rsidRPr="001D7BE8">
        <w:rPr>
          <w:rFonts w:eastAsiaTheme="minorEastAsia"/>
          <w:bCs/>
          <w:sz w:val="28"/>
          <w:szCs w:val="28"/>
          <w:lang w:eastAsia="ja-JP"/>
        </w:rPr>
        <w:t xml:space="preserve"> Bộ luật TTHS năm 2015 cũng luật hóa một số nội dung mới như trường hợp Tòa án trả hồ sơ để </w:t>
      </w:r>
      <w:r w:rsidRPr="001D7BE8">
        <w:rPr>
          <w:bCs/>
          <w:sz w:val="28"/>
          <w:szCs w:val="28"/>
        </w:rPr>
        <w:t>ĐTBS</w:t>
      </w:r>
      <w:r w:rsidRPr="001D7BE8">
        <w:rPr>
          <w:rFonts w:eastAsiaTheme="minorEastAsia"/>
          <w:bCs/>
          <w:sz w:val="28"/>
          <w:szCs w:val="28"/>
          <w:lang w:eastAsia="ja-JP"/>
        </w:rPr>
        <w:t xml:space="preserve">, nếu xét thấy có thể bổ sung chứng cứ, tài liệu thì Viện kiểm sát có thể trực tiếp bổ sung mà không cần thiết phải trả hồ sơ cho CQĐT (Điều 246) hoặc trường hợp VKS phát hiện có căn cứ trả hồ sơ để </w:t>
      </w:r>
      <w:r w:rsidRPr="001D7BE8">
        <w:rPr>
          <w:bCs/>
          <w:sz w:val="28"/>
          <w:szCs w:val="28"/>
        </w:rPr>
        <w:t>ĐTBS</w:t>
      </w:r>
      <w:r w:rsidRPr="001D7BE8">
        <w:rPr>
          <w:rFonts w:eastAsiaTheme="minorEastAsia"/>
          <w:bCs/>
          <w:sz w:val="28"/>
          <w:szCs w:val="28"/>
          <w:lang w:eastAsia="ja-JP"/>
        </w:rPr>
        <w:t xml:space="preserve"> sung thì VKS có văn bản đề nghị Tòa án trả hồ sơ (khoản 2 Điều 280). Điều này tạo sự chủ động cho VKS trong quá trình giải quyết vụ án hình sự, hạn chế được tình trạng giải quyết vụ án bị kéo dài như hiện nay.</w:t>
      </w:r>
    </w:p>
    <w:p w:rsidR="000C62B9" w:rsidRDefault="000C62B9"/>
    <w:sectPr w:rsidR="000C6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A2" w:rsidRDefault="009B61A2" w:rsidP="009B3631">
      <w:pPr>
        <w:spacing w:after="0" w:line="240" w:lineRule="auto"/>
      </w:pPr>
      <w:r>
        <w:separator/>
      </w:r>
    </w:p>
  </w:endnote>
  <w:endnote w:type="continuationSeparator" w:id="0">
    <w:p w:rsidR="009B61A2" w:rsidRDefault="009B61A2" w:rsidP="009B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A2" w:rsidRDefault="009B61A2" w:rsidP="009B3631">
      <w:pPr>
        <w:spacing w:after="0" w:line="240" w:lineRule="auto"/>
      </w:pPr>
      <w:r>
        <w:separator/>
      </w:r>
    </w:p>
  </w:footnote>
  <w:footnote w:type="continuationSeparator" w:id="0">
    <w:p w:rsidR="009B61A2" w:rsidRDefault="009B61A2" w:rsidP="009B3631">
      <w:pPr>
        <w:spacing w:after="0" w:line="240" w:lineRule="auto"/>
      </w:pPr>
      <w:r>
        <w:continuationSeparator/>
      </w:r>
    </w:p>
  </w:footnote>
  <w:footnote w:id="1">
    <w:p w:rsidR="009B3631" w:rsidRPr="001D49D7" w:rsidRDefault="009B3631" w:rsidP="009B3631">
      <w:pPr>
        <w:pStyle w:val="FootnoteText"/>
        <w:rPr>
          <w:rFonts w:ascii="Times New Roman" w:hAnsi="Times New Roman" w:cs="Times New Roman"/>
        </w:rPr>
      </w:pPr>
      <w:r w:rsidRPr="001D49D7">
        <w:rPr>
          <w:rStyle w:val="FootnoteReference"/>
          <w:rFonts w:ascii="Times New Roman" w:hAnsi="Times New Roman" w:cs="Times New Roman"/>
        </w:rPr>
        <w:footnoteRef/>
      </w:r>
      <w:r w:rsidRPr="001D49D7">
        <w:rPr>
          <w:rFonts w:ascii="Times New Roman" w:hAnsi="Times New Roman" w:cs="Times New Roman"/>
        </w:rPr>
        <w:t xml:space="preserve"> Điều 174 BLTTHS </w:t>
      </w:r>
      <w:r>
        <w:rPr>
          <w:rFonts w:ascii="Times New Roman" w:hAnsi="Times New Roman" w:cs="Times New Roman"/>
        </w:rPr>
        <w:t xml:space="preserve">năm </w:t>
      </w:r>
      <w:r w:rsidRPr="001D49D7">
        <w:rPr>
          <w:rFonts w:ascii="Times New Roman" w:hAnsi="Times New Roman" w:cs="Times New Roman"/>
        </w:rPr>
        <w:t>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9081F"/>
    <w:multiLevelType w:val="multilevel"/>
    <w:tmpl w:val="5AF4B6C6"/>
    <w:lvl w:ilvl="0">
      <w:start w:val="2"/>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b/>
        <w:i/>
      </w:rPr>
    </w:lvl>
    <w:lvl w:ilvl="3">
      <w:start w:val="1"/>
      <w:numFmt w:val="decimal"/>
      <w:lvlText w:val="%1.%2.%3.%4."/>
      <w:lvlJc w:val="left"/>
      <w:pPr>
        <w:ind w:left="1080" w:hanging="1080"/>
      </w:pPr>
      <w:rPr>
        <w:rFonts w:hint="default"/>
        <w:b w:val="0"/>
        <w:i/>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31"/>
    <w:rsid w:val="000C62B9"/>
    <w:rsid w:val="009B3631"/>
    <w:rsid w:val="009B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049E"/>
  <w15:chartTrackingRefBased/>
  <w15:docId w15:val="{820D60F5-18AE-415C-9677-4CCA29AE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9B363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3631"/>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9B3631"/>
    <w:rPr>
      <w:rFonts w:eastAsiaTheme="minorEastAsia"/>
      <w:sz w:val="20"/>
      <w:szCs w:val="20"/>
      <w:lang w:eastAsia="ja-JP"/>
    </w:rPr>
  </w:style>
  <w:style w:type="character" w:styleId="FootnoteReference">
    <w:name w:val="footnote reference"/>
    <w:basedOn w:val="DefaultParagraphFont"/>
    <w:uiPriority w:val="99"/>
    <w:semiHidden/>
    <w:unhideWhenUsed/>
    <w:rsid w:val="009B3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QUYEN</dc:creator>
  <cp:keywords/>
  <dc:description/>
  <cp:lastModifiedBy>HOANG QUYEN</cp:lastModifiedBy>
  <cp:revision>1</cp:revision>
  <dcterms:created xsi:type="dcterms:W3CDTF">2018-05-14T13:26:00Z</dcterms:created>
  <dcterms:modified xsi:type="dcterms:W3CDTF">2018-05-14T13:28:00Z</dcterms:modified>
</cp:coreProperties>
</file>