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8B" w:rsidRDefault="007C0A8B" w:rsidP="003B7C00">
      <w:pPr>
        <w:pStyle w:val="NormalWeb"/>
        <w:shd w:val="clear" w:color="auto" w:fill="FFFFFF"/>
        <w:spacing w:before="120" w:beforeAutospacing="0" w:after="120" w:afterAutospacing="0" w:line="360" w:lineRule="auto"/>
        <w:jc w:val="center"/>
        <w:textAlignment w:val="baseline"/>
        <w:rPr>
          <w:b/>
          <w:sz w:val="28"/>
          <w:szCs w:val="28"/>
        </w:rPr>
      </w:pPr>
      <w:r w:rsidRPr="007C0A8B">
        <w:rPr>
          <w:b/>
          <w:sz w:val="28"/>
          <w:szCs w:val="28"/>
        </w:rPr>
        <w:t>THỦ TỤC CÔNG CHỨNG HỢP ĐỒNG CHUYỂN NHƯỢNG QUYỀN SỬ DỤNG ĐẤT</w:t>
      </w:r>
    </w:p>
    <w:p w:rsidR="003B7C00" w:rsidRPr="003B7C00" w:rsidRDefault="003B7C00" w:rsidP="003B7C00">
      <w:pPr>
        <w:pStyle w:val="NormalWeb"/>
        <w:shd w:val="clear" w:color="auto" w:fill="FFFFFF"/>
        <w:spacing w:before="120" w:beforeAutospacing="0" w:after="120" w:afterAutospacing="0" w:line="360" w:lineRule="auto"/>
        <w:jc w:val="right"/>
        <w:textAlignment w:val="baseline"/>
        <w:rPr>
          <w:b/>
          <w:sz w:val="26"/>
          <w:szCs w:val="26"/>
        </w:rPr>
      </w:pPr>
      <w:bookmarkStart w:id="0" w:name="_GoBack"/>
      <w:r w:rsidRPr="003B7C00">
        <w:rPr>
          <w:b/>
          <w:sz w:val="26"/>
          <w:szCs w:val="26"/>
        </w:rPr>
        <w:t>Nguyễn Thị Thu Hồng – Khoa Luật – Trường Đại học Duy Tân</w:t>
      </w:r>
    </w:p>
    <w:bookmarkEnd w:id="0"/>
    <w:p w:rsidR="007C0A8B" w:rsidRPr="007C0A8B" w:rsidRDefault="007C0A8B" w:rsidP="007C0A8B">
      <w:pPr>
        <w:pStyle w:val="NormalWeb"/>
        <w:shd w:val="clear" w:color="auto" w:fill="FFFFFF"/>
        <w:spacing w:before="120" w:beforeAutospacing="0" w:after="120" w:afterAutospacing="0" w:line="360" w:lineRule="auto"/>
        <w:jc w:val="both"/>
        <w:textAlignment w:val="baseline"/>
        <w:rPr>
          <w:sz w:val="28"/>
          <w:szCs w:val="28"/>
        </w:rPr>
      </w:pPr>
      <w:r w:rsidRPr="007C0A8B">
        <w:rPr>
          <w:sz w:val="28"/>
          <w:szCs w:val="28"/>
        </w:rPr>
        <w:t xml:space="preserve">Để thực hiện thủ tục công chứng thì cần phải có đầy đủ hồ sơ theo quy định của pháp luật. Để công chứng hợp đồng </w:t>
      </w:r>
      <w:r w:rsidR="00F92E48">
        <w:rPr>
          <w:sz w:val="28"/>
          <w:szCs w:val="28"/>
        </w:rPr>
        <w:t>chuyển nhượng quyền sử dụng đất (</w:t>
      </w:r>
      <w:r w:rsidRPr="007C0A8B">
        <w:rPr>
          <w:sz w:val="28"/>
          <w:szCs w:val="28"/>
        </w:rPr>
        <w:t>CNQSDĐ</w:t>
      </w:r>
      <w:r w:rsidR="00F92E48">
        <w:rPr>
          <w:sz w:val="28"/>
          <w:szCs w:val="28"/>
        </w:rPr>
        <w:t>)</w:t>
      </w:r>
      <w:r w:rsidRPr="007C0A8B">
        <w:rPr>
          <w:sz w:val="28"/>
          <w:szCs w:val="28"/>
        </w:rPr>
        <w:t xml:space="preserve"> thì hồ sơ gồm có:</w:t>
      </w:r>
    </w:p>
    <w:p w:rsidR="007C0A8B" w:rsidRPr="007C0A8B" w:rsidRDefault="007C0A8B" w:rsidP="007C0A8B">
      <w:pPr>
        <w:pStyle w:val="NormalWeb"/>
        <w:numPr>
          <w:ilvl w:val="0"/>
          <w:numId w:val="12"/>
        </w:numPr>
        <w:shd w:val="clear" w:color="auto" w:fill="FFFFFF"/>
        <w:spacing w:before="120" w:beforeAutospacing="0" w:after="120" w:afterAutospacing="0" w:line="360" w:lineRule="auto"/>
        <w:jc w:val="both"/>
        <w:textAlignment w:val="baseline"/>
        <w:rPr>
          <w:color w:val="333333"/>
          <w:sz w:val="28"/>
          <w:szCs w:val="28"/>
        </w:rPr>
      </w:pPr>
      <w:r w:rsidRPr="007C0A8B">
        <w:rPr>
          <w:i/>
          <w:sz w:val="28"/>
          <w:szCs w:val="28"/>
        </w:rPr>
        <w:t>Đối với chuyển nhượng quyền sử dụng đất toàn bộ</w:t>
      </w:r>
      <w:r w:rsidRPr="007C0A8B">
        <w:rPr>
          <w:color w:val="333333"/>
          <w:sz w:val="28"/>
          <w:szCs w:val="28"/>
        </w:rPr>
        <w:t>:</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Chứng minh nhân dân (hai bên).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Sổ hộ khẩu (hai bên).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Nếu hai người bên chuyển nhượng hoặc bên nhận chuyển nhượng khác hộ khẩu thì có đăng ký kết hôn.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Giấy chứng nhận QSDĐ (Sổ đỏ).</w:t>
      </w:r>
    </w:p>
    <w:p w:rsidR="007C0A8B" w:rsidRPr="007C0A8B" w:rsidRDefault="007C0A8B" w:rsidP="007C0A8B">
      <w:pPr>
        <w:pStyle w:val="ListParagraph"/>
        <w:numPr>
          <w:ilvl w:val="0"/>
          <w:numId w:val="12"/>
        </w:numPr>
        <w:spacing w:after="0" w:line="360" w:lineRule="auto"/>
        <w:jc w:val="both"/>
        <w:rPr>
          <w:rFonts w:eastAsia="Times New Roman" w:cs="Times New Roman"/>
          <w:sz w:val="28"/>
          <w:szCs w:val="28"/>
          <w:lang w:eastAsia="vi-VN"/>
        </w:rPr>
      </w:pPr>
      <w:r w:rsidRPr="007C0A8B">
        <w:rPr>
          <w:rFonts w:eastAsia="Times New Roman" w:cs="Times New Roman"/>
          <w:i/>
          <w:sz w:val="28"/>
          <w:szCs w:val="28"/>
          <w:lang w:eastAsia="vi-VN"/>
        </w:rPr>
        <w:t>Đối với chuyển nhượng quyền sử dụng đất một phần</w:t>
      </w:r>
      <w:r w:rsidRPr="007C0A8B">
        <w:rPr>
          <w:rFonts w:eastAsia="Times New Roman" w:cs="Times New Roman"/>
          <w:sz w:val="28"/>
          <w:szCs w:val="28"/>
          <w:lang w:eastAsia="vi-VN"/>
        </w:rPr>
        <w:t>:</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Chứng minh nhân dân (hai bên).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Sổ hộ khẩu (hai bên).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Nếu hai người bên chuyển nhượng hoặc bên nhận chuyển nhượng khác hộ khẩu thì có đăng ký kết hôn.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Đơn yêu cầu tách thửa đã được Ủy ban nhân dân quận huyện xác nhận.</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Giấy chứng nhận quyền sử dụng đất (Sổ đỏ – bản sao).</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sz w:val="28"/>
          <w:szCs w:val="28"/>
          <w:lang w:eastAsia="vi-VN"/>
        </w:rPr>
        <w:t>+ Hồ sơ kỹ thuật thửa đất (Bản vẽ thửa đất do Văn phòng đăng kí quyền sử dụng đất cấp).</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i/>
          <w:sz w:val="28"/>
          <w:szCs w:val="28"/>
          <w:lang w:eastAsia="vi-VN"/>
        </w:rPr>
        <w:t>Thủ tục công chứng hợp đồng CNQSDĐ như sau</w:t>
      </w:r>
      <w:r w:rsidRPr="007C0A8B">
        <w:rPr>
          <w:rFonts w:eastAsia="Times New Roman" w:cs="Times New Roman"/>
          <w:sz w:val="28"/>
          <w:szCs w:val="28"/>
          <w:lang w:eastAsia="vi-VN"/>
        </w:rPr>
        <w:t>:</w:t>
      </w:r>
    </w:p>
    <w:p w:rsidR="007C0A8B" w:rsidRPr="007C0A8B" w:rsidRDefault="007C0A8B" w:rsidP="007C0A8B">
      <w:pPr>
        <w:spacing w:after="0" w:line="360" w:lineRule="auto"/>
        <w:jc w:val="both"/>
        <w:rPr>
          <w:rFonts w:eastAsia="Times New Roman" w:cs="Times New Roman"/>
          <w:sz w:val="28"/>
          <w:szCs w:val="28"/>
          <w:lang w:eastAsia="vi-VN"/>
        </w:rPr>
      </w:pPr>
      <w:r w:rsidRPr="007C0A8B">
        <w:rPr>
          <w:rFonts w:eastAsia="Times New Roman" w:cs="Times New Roman"/>
          <w:b/>
          <w:i/>
          <w:sz w:val="28"/>
          <w:szCs w:val="28"/>
          <w:lang w:eastAsia="vi-VN"/>
        </w:rPr>
        <w:t>Bước 1:</w:t>
      </w:r>
      <w:r w:rsidRPr="007C0A8B">
        <w:rPr>
          <w:rFonts w:eastAsia="Times New Roman" w:cs="Times New Roman"/>
          <w:sz w:val="28"/>
          <w:szCs w:val="28"/>
          <w:lang w:eastAsia="vi-VN"/>
        </w:rPr>
        <w:t xml:space="preserve">  Người yêu cầu công chứng tập hợp đủ các giấy tờ theo hướng dẫn rồi nộp tại Công chứng viên tiếp nhận hồ sơ( Bản photo và bản gốc để đối chiếu). Hồ sơ photo có thể nộp trực tiếp, gửi Fax,Email hoặc có thể yêu cầu nhận hồ sơ, tư vấn tại nhà( có thù lao).</w:t>
      </w:r>
    </w:p>
    <w:p w:rsidR="007C0A8B" w:rsidRPr="007C0A8B" w:rsidRDefault="007C0A8B" w:rsidP="007C0A8B">
      <w:pPr>
        <w:pStyle w:val="NormalWeb"/>
        <w:shd w:val="clear" w:color="auto" w:fill="FFFFFF"/>
        <w:spacing w:before="120" w:beforeAutospacing="0" w:after="120" w:afterAutospacing="0" w:line="360" w:lineRule="auto"/>
        <w:jc w:val="both"/>
        <w:textAlignment w:val="baseline"/>
        <w:rPr>
          <w:sz w:val="28"/>
          <w:szCs w:val="28"/>
        </w:rPr>
      </w:pPr>
      <w:r w:rsidRPr="007C0A8B">
        <w:rPr>
          <w:b/>
          <w:i/>
          <w:sz w:val="28"/>
          <w:szCs w:val="28"/>
        </w:rPr>
        <w:lastRenderedPageBreak/>
        <w:t>Bước 2:</w:t>
      </w:r>
      <w:r w:rsidRPr="007C0A8B">
        <w:rPr>
          <w:sz w:val="28"/>
          <w:szCs w:val="28"/>
        </w:rPr>
        <w:t xml:space="preserve"> Công chứng viên tiếp nhận hồ sơ sẽ kiểm tra hồ sơ đã nhận và các điều kiện công chứng, nếu thấy đủ điều kiện thì sẽ nhận hồ sơ, nếu thiếu sẽ yêu cầu bổ sung hoặc từ chối tiếp nhận nếu không đủ điều kiện công chứng theo Luật định. </w:t>
      </w:r>
    </w:p>
    <w:p w:rsidR="007C0A8B" w:rsidRPr="00F92E48" w:rsidRDefault="007C0A8B" w:rsidP="007C0A8B">
      <w:pPr>
        <w:pStyle w:val="NormalWeb"/>
        <w:shd w:val="clear" w:color="auto" w:fill="FFFFFF"/>
        <w:spacing w:before="120" w:beforeAutospacing="0" w:after="120" w:afterAutospacing="0" w:line="360" w:lineRule="auto"/>
        <w:jc w:val="both"/>
        <w:textAlignment w:val="baseline"/>
        <w:rPr>
          <w:color w:val="000000" w:themeColor="text1"/>
          <w:sz w:val="28"/>
          <w:szCs w:val="28"/>
        </w:rPr>
      </w:pPr>
      <w:r w:rsidRPr="00F92E48">
        <w:rPr>
          <w:b/>
          <w:i/>
          <w:color w:val="000000" w:themeColor="text1"/>
          <w:sz w:val="28"/>
          <w:szCs w:val="28"/>
        </w:rPr>
        <w:t>Bước 3:</w:t>
      </w:r>
      <w:r w:rsidRPr="00F92E48">
        <w:rPr>
          <w:color w:val="000000" w:themeColor="text1"/>
          <w:sz w:val="28"/>
          <w:szCs w:val="28"/>
        </w:rPr>
        <w:t xml:space="preserve"> Ngay sau khi đã nhận đủ hồ sơ, bộ phận nghiệp vụ sẽ tiến hành soạn thảo hợp đồng giao dịch ( </w:t>
      </w:r>
      <w:r w:rsidRPr="00F92E48">
        <w:rPr>
          <w:rStyle w:val="Emphasis"/>
          <w:color w:val="000000" w:themeColor="text1"/>
          <w:sz w:val="28"/>
          <w:szCs w:val="28"/>
        </w:rPr>
        <w:t>Trong thời gian khoảng 30 - 45 phút</w:t>
      </w:r>
      <w:r w:rsidRPr="00F92E48">
        <w:rPr>
          <w:color w:val="000000" w:themeColor="text1"/>
          <w:sz w:val="28"/>
          <w:szCs w:val="28"/>
        </w:rPr>
        <w:t> ). Hợp đồng giao dịch sau khi soạn thảo sẽ được chuyển sang Công chứng viên thẩm định nội dung, thẩm định kỹ thuật để rà soát lại, và chuyển cho các bên đọc lại. </w:t>
      </w:r>
    </w:p>
    <w:p w:rsidR="007C0A8B" w:rsidRPr="00F92E48" w:rsidRDefault="007C0A8B" w:rsidP="007C0A8B">
      <w:pPr>
        <w:pStyle w:val="NormalWeb"/>
        <w:shd w:val="clear" w:color="auto" w:fill="FFFFFF"/>
        <w:spacing w:before="120" w:beforeAutospacing="0" w:after="120" w:afterAutospacing="0" w:line="360" w:lineRule="auto"/>
        <w:jc w:val="both"/>
        <w:textAlignment w:val="baseline"/>
        <w:rPr>
          <w:color w:val="000000" w:themeColor="text1"/>
          <w:sz w:val="28"/>
          <w:szCs w:val="28"/>
        </w:rPr>
      </w:pPr>
      <w:r w:rsidRPr="00F92E48">
        <w:rPr>
          <w:b/>
          <w:i/>
          <w:color w:val="000000" w:themeColor="text1"/>
          <w:sz w:val="28"/>
          <w:szCs w:val="28"/>
        </w:rPr>
        <w:t>Bước 4:</w:t>
      </w:r>
      <w:r w:rsidRPr="00F92E48">
        <w:rPr>
          <w:color w:val="000000" w:themeColor="text1"/>
          <w:sz w:val="28"/>
          <w:szCs w:val="28"/>
        </w:rPr>
        <w:t xml:space="preserve"> Các bên sau khi đã đọc lại, nếu không có yêu cầu chỉnh sửa gì sẽ ký/điểm chỉ vào từng trang của hợp đồng </w:t>
      </w:r>
      <w:r w:rsidRPr="00F92E48">
        <w:rPr>
          <w:i/>
          <w:color w:val="000000" w:themeColor="text1"/>
          <w:sz w:val="28"/>
          <w:szCs w:val="28"/>
        </w:rPr>
        <w:t>( </w:t>
      </w:r>
      <w:r w:rsidRPr="00F92E48">
        <w:rPr>
          <w:rStyle w:val="Emphasis"/>
          <w:color w:val="000000" w:themeColor="text1"/>
          <w:sz w:val="28"/>
          <w:szCs w:val="28"/>
        </w:rPr>
        <w:t>theo hướng dẫn</w:t>
      </w:r>
      <w:r w:rsidRPr="00F92E48">
        <w:rPr>
          <w:color w:val="000000" w:themeColor="text1"/>
          <w:sz w:val="28"/>
          <w:szCs w:val="28"/>
        </w:rPr>
        <w:t> ). Công chứng viên sẽ ký sau đó để chuyển sang bộ phận đóng dấu, lưu hồ sơ và trả hồ sơ. </w:t>
      </w:r>
    </w:p>
    <w:p w:rsidR="007C0A8B" w:rsidRPr="00F92E48" w:rsidRDefault="007C0A8B" w:rsidP="007C0A8B">
      <w:pPr>
        <w:pStyle w:val="NormalWeb"/>
        <w:shd w:val="clear" w:color="auto" w:fill="FFFFFF"/>
        <w:spacing w:before="120" w:beforeAutospacing="0" w:after="120" w:afterAutospacing="0" w:line="360" w:lineRule="auto"/>
        <w:jc w:val="both"/>
        <w:textAlignment w:val="baseline"/>
        <w:rPr>
          <w:color w:val="000000" w:themeColor="text1"/>
          <w:sz w:val="28"/>
          <w:szCs w:val="28"/>
        </w:rPr>
      </w:pPr>
      <w:r w:rsidRPr="00F92E48">
        <w:rPr>
          <w:b/>
          <w:i/>
          <w:color w:val="000000" w:themeColor="text1"/>
          <w:sz w:val="28"/>
          <w:szCs w:val="28"/>
        </w:rPr>
        <w:t>Bước 5:</w:t>
      </w:r>
      <w:r w:rsidRPr="00F92E48">
        <w:rPr>
          <w:color w:val="000000" w:themeColor="text1"/>
          <w:sz w:val="28"/>
          <w:szCs w:val="28"/>
        </w:rPr>
        <w:t xml:space="preserve"> Người yêu cầu công chứng hoặc một trong các bên  nộp lệ phí, thù lao công chứng, nhận các bản hợp đồng, giao dịch đã được công chứng tại quầy thu ngân, trả hồ sơ.</w:t>
      </w:r>
    </w:p>
    <w:sectPr w:rsidR="007C0A8B" w:rsidRPr="00F92E48" w:rsidSect="0082362A">
      <w:footerReference w:type="default" r:id="rId8"/>
      <w:endnotePr>
        <w:numFmt w:val="decimal"/>
      </w:endnotePr>
      <w:pgSz w:w="11907" w:h="16840" w:code="9"/>
      <w:pgMar w:top="1985" w:right="850"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0A" w:rsidRDefault="008B240A" w:rsidP="00751FB3">
      <w:pPr>
        <w:spacing w:after="0" w:line="240" w:lineRule="auto"/>
      </w:pPr>
      <w:r>
        <w:separator/>
      </w:r>
    </w:p>
  </w:endnote>
  <w:endnote w:type="continuationSeparator" w:id="0">
    <w:p w:rsidR="008B240A" w:rsidRDefault="008B240A" w:rsidP="0075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2719"/>
      <w:docPartObj>
        <w:docPartGallery w:val="Page Numbers (Bottom of Page)"/>
        <w:docPartUnique/>
      </w:docPartObj>
    </w:sdtPr>
    <w:sdtEndPr>
      <w:rPr>
        <w:noProof/>
      </w:rPr>
    </w:sdtEndPr>
    <w:sdtContent>
      <w:p w:rsidR="00CE131C" w:rsidRDefault="00CE131C">
        <w:pPr>
          <w:pStyle w:val="Footer"/>
          <w:jc w:val="right"/>
        </w:pPr>
        <w:r>
          <w:fldChar w:fldCharType="begin"/>
        </w:r>
        <w:r>
          <w:instrText xml:space="preserve"> PAGE   \* MERGEFORMAT </w:instrText>
        </w:r>
        <w:r>
          <w:fldChar w:fldCharType="separate"/>
        </w:r>
        <w:r w:rsidR="003B7C00">
          <w:rPr>
            <w:noProof/>
          </w:rPr>
          <w:t>1</w:t>
        </w:r>
        <w:r>
          <w:rPr>
            <w:noProof/>
          </w:rPr>
          <w:fldChar w:fldCharType="end"/>
        </w:r>
      </w:p>
    </w:sdtContent>
  </w:sdt>
  <w:p w:rsidR="007F1250" w:rsidRDefault="007F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0A" w:rsidRDefault="008B240A" w:rsidP="00751FB3">
      <w:pPr>
        <w:spacing w:after="0" w:line="240" w:lineRule="auto"/>
      </w:pPr>
      <w:r>
        <w:separator/>
      </w:r>
    </w:p>
  </w:footnote>
  <w:footnote w:type="continuationSeparator" w:id="0">
    <w:p w:rsidR="008B240A" w:rsidRDefault="008B240A" w:rsidP="0075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AF3"/>
    <w:multiLevelType w:val="hybridMultilevel"/>
    <w:tmpl w:val="1BDE74A6"/>
    <w:lvl w:ilvl="0" w:tplc="6596B42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664FBE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7C404F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EF48593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88ACDB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28463F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9FC85508">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C38798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E32C31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94A190B"/>
    <w:multiLevelType w:val="hybridMultilevel"/>
    <w:tmpl w:val="7EC26E72"/>
    <w:lvl w:ilvl="0" w:tplc="E228A93A">
      <w:numFmt w:val="bullet"/>
      <w:lvlText w:val="-"/>
      <w:lvlJc w:val="left"/>
      <w:pPr>
        <w:ind w:left="43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nsid w:val="09F362F9"/>
    <w:multiLevelType w:val="hybridMultilevel"/>
    <w:tmpl w:val="7540BB2C"/>
    <w:lvl w:ilvl="0" w:tplc="19924A5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1FDCAFE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BF0195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8F04B4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FB81CB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E1AB51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F02A442">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06EB2A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08E1B78">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197B2F9B"/>
    <w:multiLevelType w:val="hybridMultilevel"/>
    <w:tmpl w:val="92A08F8C"/>
    <w:lvl w:ilvl="0" w:tplc="35CAD75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8D95A60"/>
    <w:multiLevelType w:val="hybridMultilevel"/>
    <w:tmpl w:val="B7526436"/>
    <w:lvl w:ilvl="0" w:tplc="974CC16A">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35D278C1"/>
    <w:multiLevelType w:val="multilevel"/>
    <w:tmpl w:val="8B26C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5045B3"/>
    <w:multiLevelType w:val="hybridMultilevel"/>
    <w:tmpl w:val="32680592"/>
    <w:lvl w:ilvl="0" w:tplc="2A86C084">
      <w:start w:val="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F410997"/>
    <w:multiLevelType w:val="hybridMultilevel"/>
    <w:tmpl w:val="376208C6"/>
    <w:lvl w:ilvl="0" w:tplc="9BB63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071B7"/>
    <w:multiLevelType w:val="hybridMultilevel"/>
    <w:tmpl w:val="43C09FA2"/>
    <w:lvl w:ilvl="0" w:tplc="5032108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72625"/>
    <w:multiLevelType w:val="hybridMultilevel"/>
    <w:tmpl w:val="0980D9DC"/>
    <w:lvl w:ilvl="0" w:tplc="7932DD3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6A14472"/>
    <w:multiLevelType w:val="hybridMultilevel"/>
    <w:tmpl w:val="3CD62BEE"/>
    <w:lvl w:ilvl="0" w:tplc="FC12C2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6"/>
  </w:num>
  <w:num w:numId="7">
    <w:abstractNumId w:val="3"/>
  </w:num>
  <w:num w:numId="8">
    <w:abstractNumId w:val="9"/>
  </w:num>
  <w:num w:numId="9">
    <w:abstractNumId w:val="1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65"/>
    <w:rsid w:val="00011FA9"/>
    <w:rsid w:val="00066368"/>
    <w:rsid w:val="000A4C21"/>
    <w:rsid w:val="001167C7"/>
    <w:rsid w:val="00132DBF"/>
    <w:rsid w:val="001549E2"/>
    <w:rsid w:val="00177908"/>
    <w:rsid w:val="001F183C"/>
    <w:rsid w:val="001F7C43"/>
    <w:rsid w:val="0021135A"/>
    <w:rsid w:val="00233D7B"/>
    <w:rsid w:val="00241F20"/>
    <w:rsid w:val="0024439B"/>
    <w:rsid w:val="00270D08"/>
    <w:rsid w:val="0027402F"/>
    <w:rsid w:val="002F22F1"/>
    <w:rsid w:val="003077A9"/>
    <w:rsid w:val="00326ED2"/>
    <w:rsid w:val="00341AA7"/>
    <w:rsid w:val="00345602"/>
    <w:rsid w:val="00372315"/>
    <w:rsid w:val="003B7C00"/>
    <w:rsid w:val="00464092"/>
    <w:rsid w:val="004B5F30"/>
    <w:rsid w:val="004E0EE7"/>
    <w:rsid w:val="004F734F"/>
    <w:rsid w:val="00505BAF"/>
    <w:rsid w:val="00521A7E"/>
    <w:rsid w:val="0052602B"/>
    <w:rsid w:val="00551F65"/>
    <w:rsid w:val="0055430E"/>
    <w:rsid w:val="00562640"/>
    <w:rsid w:val="00586607"/>
    <w:rsid w:val="00595287"/>
    <w:rsid w:val="0059613F"/>
    <w:rsid w:val="005E4D0D"/>
    <w:rsid w:val="00631C54"/>
    <w:rsid w:val="0065773C"/>
    <w:rsid w:val="006A60E8"/>
    <w:rsid w:val="006B5C2D"/>
    <w:rsid w:val="006D2DB6"/>
    <w:rsid w:val="00707F84"/>
    <w:rsid w:val="00751FB3"/>
    <w:rsid w:val="007826C5"/>
    <w:rsid w:val="007C0A8B"/>
    <w:rsid w:val="007C54F0"/>
    <w:rsid w:val="007E2E0B"/>
    <w:rsid w:val="007F1250"/>
    <w:rsid w:val="007F51B6"/>
    <w:rsid w:val="0082362A"/>
    <w:rsid w:val="008803B7"/>
    <w:rsid w:val="008840A4"/>
    <w:rsid w:val="008B240A"/>
    <w:rsid w:val="008C1A32"/>
    <w:rsid w:val="008C3D97"/>
    <w:rsid w:val="008C7281"/>
    <w:rsid w:val="008F2B5B"/>
    <w:rsid w:val="008F2C7B"/>
    <w:rsid w:val="00940892"/>
    <w:rsid w:val="0097125D"/>
    <w:rsid w:val="009865C0"/>
    <w:rsid w:val="00987DFA"/>
    <w:rsid w:val="009A486A"/>
    <w:rsid w:val="009D35ED"/>
    <w:rsid w:val="009E15F8"/>
    <w:rsid w:val="00A07FE6"/>
    <w:rsid w:val="00A754D1"/>
    <w:rsid w:val="00A8514C"/>
    <w:rsid w:val="00B41C3D"/>
    <w:rsid w:val="00B5050A"/>
    <w:rsid w:val="00B6366D"/>
    <w:rsid w:val="00C134B0"/>
    <w:rsid w:val="00C145C1"/>
    <w:rsid w:val="00C21373"/>
    <w:rsid w:val="00C51FEB"/>
    <w:rsid w:val="00C60381"/>
    <w:rsid w:val="00CB77B9"/>
    <w:rsid w:val="00CE131C"/>
    <w:rsid w:val="00D0139A"/>
    <w:rsid w:val="00D305C4"/>
    <w:rsid w:val="00D47251"/>
    <w:rsid w:val="00D879CE"/>
    <w:rsid w:val="00DC690B"/>
    <w:rsid w:val="00DD090C"/>
    <w:rsid w:val="00DE1607"/>
    <w:rsid w:val="00DF5AE5"/>
    <w:rsid w:val="00E24E31"/>
    <w:rsid w:val="00E517AD"/>
    <w:rsid w:val="00E87FD4"/>
    <w:rsid w:val="00ED0367"/>
    <w:rsid w:val="00F31268"/>
    <w:rsid w:val="00F6272E"/>
    <w:rsid w:val="00F66421"/>
    <w:rsid w:val="00F92E48"/>
    <w:rsid w:val="00FA5DF9"/>
    <w:rsid w:val="00FC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FF143-482A-4B7A-B75C-BB61845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65"/>
  </w:style>
  <w:style w:type="paragraph" w:styleId="Heading1">
    <w:name w:val="heading 1"/>
    <w:next w:val="Normal"/>
    <w:link w:val="Heading1Char"/>
    <w:uiPriority w:val="9"/>
    <w:qFormat/>
    <w:rsid w:val="007826C5"/>
    <w:pPr>
      <w:keepNext/>
      <w:keepLines/>
      <w:spacing w:after="189" w:line="240" w:lineRule="auto"/>
      <w:ind w:left="10" w:right="-15" w:hanging="10"/>
      <w:jc w:val="center"/>
      <w:outlineLvl w:val="0"/>
    </w:pPr>
    <w:rPr>
      <w:rFonts w:eastAsia="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65"/>
    <w:pPr>
      <w:ind w:left="720"/>
      <w:contextualSpacing/>
    </w:pPr>
  </w:style>
  <w:style w:type="paragraph" w:styleId="EndnoteText">
    <w:name w:val="endnote text"/>
    <w:basedOn w:val="Normal"/>
    <w:link w:val="EndnoteTextChar"/>
    <w:uiPriority w:val="99"/>
    <w:semiHidden/>
    <w:unhideWhenUsed/>
    <w:rsid w:val="00751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FB3"/>
    <w:rPr>
      <w:sz w:val="20"/>
      <w:szCs w:val="20"/>
    </w:rPr>
  </w:style>
  <w:style w:type="character" w:styleId="EndnoteReference">
    <w:name w:val="endnote reference"/>
    <w:basedOn w:val="DefaultParagraphFont"/>
    <w:uiPriority w:val="99"/>
    <w:semiHidden/>
    <w:unhideWhenUsed/>
    <w:rsid w:val="00751FB3"/>
    <w:rPr>
      <w:vertAlign w:val="superscript"/>
    </w:rPr>
  </w:style>
  <w:style w:type="paragraph" w:styleId="FootnoteText">
    <w:name w:val="footnote text"/>
    <w:basedOn w:val="Normal"/>
    <w:link w:val="FootnoteTextChar"/>
    <w:uiPriority w:val="99"/>
    <w:semiHidden/>
    <w:unhideWhenUsed/>
    <w:rsid w:val="0078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6C5"/>
    <w:rPr>
      <w:sz w:val="20"/>
      <w:szCs w:val="20"/>
    </w:rPr>
  </w:style>
  <w:style w:type="character" w:styleId="FootnoteReference">
    <w:name w:val="footnote reference"/>
    <w:basedOn w:val="DefaultParagraphFont"/>
    <w:uiPriority w:val="99"/>
    <w:semiHidden/>
    <w:unhideWhenUsed/>
    <w:rsid w:val="007826C5"/>
    <w:rPr>
      <w:vertAlign w:val="superscript"/>
    </w:rPr>
  </w:style>
  <w:style w:type="paragraph" w:styleId="NormalWeb">
    <w:name w:val="Normal (Web)"/>
    <w:basedOn w:val="Normal"/>
    <w:uiPriority w:val="99"/>
    <w:unhideWhenUsed/>
    <w:rsid w:val="007826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26C5"/>
    <w:rPr>
      <w:b/>
      <w:bCs/>
    </w:rPr>
  </w:style>
  <w:style w:type="character" w:customStyle="1" w:styleId="Heading1Char">
    <w:name w:val="Heading 1 Char"/>
    <w:basedOn w:val="DefaultParagraphFont"/>
    <w:link w:val="Heading1"/>
    <w:uiPriority w:val="9"/>
    <w:rsid w:val="007826C5"/>
    <w:rPr>
      <w:rFonts w:eastAsia="Times New Roman" w:cs="Times New Roman"/>
      <w:color w:val="000000"/>
      <w:sz w:val="28"/>
    </w:rPr>
  </w:style>
  <w:style w:type="character" w:styleId="Hyperlink">
    <w:name w:val="Hyperlink"/>
    <w:basedOn w:val="DefaultParagraphFont"/>
    <w:uiPriority w:val="99"/>
    <w:unhideWhenUsed/>
    <w:rsid w:val="007826C5"/>
    <w:rPr>
      <w:color w:val="0000FF"/>
      <w:u w:val="single"/>
    </w:rPr>
  </w:style>
  <w:style w:type="paragraph" w:styleId="BalloonText">
    <w:name w:val="Balloon Text"/>
    <w:basedOn w:val="Normal"/>
    <w:link w:val="BalloonTextChar"/>
    <w:uiPriority w:val="99"/>
    <w:semiHidden/>
    <w:unhideWhenUsed/>
    <w:rsid w:val="007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0"/>
    <w:rPr>
      <w:rFonts w:ascii="Tahoma" w:hAnsi="Tahoma" w:cs="Tahoma"/>
      <w:sz w:val="16"/>
      <w:szCs w:val="16"/>
    </w:rPr>
  </w:style>
  <w:style w:type="paragraph" w:styleId="Header">
    <w:name w:val="header"/>
    <w:basedOn w:val="Normal"/>
    <w:link w:val="HeaderChar"/>
    <w:uiPriority w:val="99"/>
    <w:unhideWhenUsed/>
    <w:rsid w:val="007F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50"/>
  </w:style>
  <w:style w:type="paragraph" w:styleId="Footer">
    <w:name w:val="footer"/>
    <w:basedOn w:val="Normal"/>
    <w:link w:val="FooterChar"/>
    <w:uiPriority w:val="99"/>
    <w:unhideWhenUsed/>
    <w:rsid w:val="007F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50"/>
  </w:style>
  <w:style w:type="character" w:customStyle="1" w:styleId="apple-converted-space">
    <w:name w:val="apple-converted-space"/>
    <w:basedOn w:val="DefaultParagraphFont"/>
    <w:rsid w:val="00D47251"/>
  </w:style>
  <w:style w:type="character" w:styleId="FollowedHyperlink">
    <w:name w:val="FollowedHyperlink"/>
    <w:basedOn w:val="DefaultParagraphFont"/>
    <w:uiPriority w:val="99"/>
    <w:semiHidden/>
    <w:unhideWhenUsed/>
    <w:rsid w:val="009865C0"/>
    <w:rPr>
      <w:color w:val="954F72" w:themeColor="followedHyperlink"/>
      <w:u w:val="single"/>
    </w:rPr>
  </w:style>
  <w:style w:type="character" w:styleId="Emphasis">
    <w:name w:val="Emphasis"/>
    <w:basedOn w:val="DefaultParagraphFont"/>
    <w:uiPriority w:val="20"/>
    <w:qFormat/>
    <w:rsid w:val="0098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49">
      <w:bodyDiv w:val="1"/>
      <w:marLeft w:val="0"/>
      <w:marRight w:val="0"/>
      <w:marTop w:val="0"/>
      <w:marBottom w:val="0"/>
      <w:divBdr>
        <w:top w:val="none" w:sz="0" w:space="0" w:color="auto"/>
        <w:left w:val="none" w:sz="0" w:space="0" w:color="auto"/>
        <w:bottom w:val="none" w:sz="0" w:space="0" w:color="auto"/>
        <w:right w:val="none" w:sz="0" w:space="0" w:color="auto"/>
      </w:divBdr>
    </w:div>
    <w:div w:id="1166704618">
      <w:bodyDiv w:val="1"/>
      <w:marLeft w:val="0"/>
      <w:marRight w:val="0"/>
      <w:marTop w:val="0"/>
      <w:marBottom w:val="0"/>
      <w:divBdr>
        <w:top w:val="none" w:sz="0" w:space="0" w:color="auto"/>
        <w:left w:val="none" w:sz="0" w:space="0" w:color="auto"/>
        <w:bottom w:val="none" w:sz="0" w:space="0" w:color="auto"/>
        <w:right w:val="none" w:sz="0" w:space="0" w:color="auto"/>
      </w:divBdr>
    </w:div>
    <w:div w:id="1758476984">
      <w:bodyDiv w:val="1"/>
      <w:marLeft w:val="0"/>
      <w:marRight w:val="0"/>
      <w:marTop w:val="0"/>
      <w:marBottom w:val="0"/>
      <w:divBdr>
        <w:top w:val="none" w:sz="0" w:space="0" w:color="auto"/>
        <w:left w:val="none" w:sz="0" w:space="0" w:color="auto"/>
        <w:bottom w:val="none" w:sz="0" w:space="0" w:color="auto"/>
        <w:right w:val="none" w:sz="0" w:space="0" w:color="auto"/>
      </w:divBdr>
    </w:div>
    <w:div w:id="1849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B854-90B0-411A-B569-45615E08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Văn Phúc</cp:lastModifiedBy>
  <cp:revision>4</cp:revision>
  <dcterms:created xsi:type="dcterms:W3CDTF">2020-08-18T10:03:00Z</dcterms:created>
  <dcterms:modified xsi:type="dcterms:W3CDTF">2020-11-17T10:02:00Z</dcterms:modified>
</cp:coreProperties>
</file>