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5BA" w:rsidRPr="000F35F7" w:rsidRDefault="007935BA" w:rsidP="007935BA">
      <w:pPr>
        <w:spacing w:line="360" w:lineRule="auto"/>
        <w:ind w:firstLine="360"/>
        <w:jc w:val="center"/>
        <w:rPr>
          <w:rFonts w:cs="Times New Roman"/>
          <w:b/>
          <w:sz w:val="44"/>
          <w:szCs w:val="44"/>
        </w:rPr>
      </w:pPr>
      <w:bookmarkStart w:id="0" w:name="_Hlk536215207"/>
      <w:r w:rsidRPr="000F35F7">
        <w:rPr>
          <w:rFonts w:cs="Times New Roman"/>
          <w:b/>
          <w:sz w:val="44"/>
          <w:szCs w:val="44"/>
        </w:rPr>
        <w:t xml:space="preserve">Những vấn đề pháp lý về phương thức giải quyết tranh chấp kinh doanh bằng trọng tài ở Việt Nam hiện nay </w:t>
      </w:r>
    </w:p>
    <w:bookmarkEnd w:id="0"/>
    <w:p w:rsidR="007935BA" w:rsidRDefault="007935BA" w:rsidP="007935BA">
      <w:pPr>
        <w:keepNext/>
        <w:keepLines/>
        <w:spacing w:before="240" w:after="0" w:line="360" w:lineRule="auto"/>
        <w:ind w:firstLine="567"/>
        <w:jc w:val="right"/>
        <w:outlineLvl w:val="0"/>
        <w:rPr>
          <w:rFonts w:eastAsiaTheme="majorEastAsia" w:cs="Times New Roman"/>
          <w:b/>
          <w:color w:val="000000" w:themeColor="text1"/>
          <w:szCs w:val="28"/>
        </w:rPr>
      </w:pPr>
      <w:r>
        <w:rPr>
          <w:rFonts w:eastAsiaTheme="majorEastAsia" w:cs="Times New Roman"/>
          <w:b/>
          <w:color w:val="000000" w:themeColor="text1"/>
          <w:szCs w:val="28"/>
        </w:rPr>
        <w:t>Phạm Thị Thanh Tâm</w:t>
      </w:r>
    </w:p>
    <w:p w:rsidR="0028644E" w:rsidRPr="0028644E" w:rsidRDefault="0028644E" w:rsidP="0028644E">
      <w:pPr>
        <w:keepNext/>
        <w:keepLines/>
        <w:spacing w:before="240" w:after="0" w:line="360" w:lineRule="auto"/>
        <w:ind w:firstLine="567"/>
        <w:jc w:val="both"/>
        <w:outlineLvl w:val="0"/>
        <w:rPr>
          <w:rFonts w:eastAsiaTheme="majorEastAsia" w:cs="Times New Roman"/>
          <w:b/>
          <w:szCs w:val="28"/>
        </w:rPr>
      </w:pPr>
      <w:bookmarkStart w:id="1" w:name="_Toc2716714"/>
      <w:r w:rsidRPr="0028644E">
        <w:rPr>
          <w:rFonts w:eastAsiaTheme="majorEastAsia" w:cs="Times New Roman"/>
          <w:b/>
          <w:szCs w:val="28"/>
        </w:rPr>
        <w:t>2.2. Một số giải pháp nhằm nâng cao chất lượng giải quyết tranh chấp bằng phương thức trọng tài thương mại</w:t>
      </w:r>
      <w:bookmarkEnd w:id="1"/>
    </w:p>
    <w:p w:rsidR="0028644E" w:rsidRPr="0028644E" w:rsidRDefault="0028644E" w:rsidP="0028644E">
      <w:pPr>
        <w:spacing w:line="360" w:lineRule="auto"/>
        <w:ind w:firstLine="567"/>
        <w:jc w:val="both"/>
        <w:rPr>
          <w:rFonts w:eastAsiaTheme="majorEastAsia" w:cs="Times New Roman"/>
          <w:szCs w:val="28"/>
        </w:rPr>
      </w:pPr>
      <w:r w:rsidRPr="0028644E">
        <w:rPr>
          <w:rFonts w:eastAsiaTheme="majorEastAsia" w:cs="Times New Roman"/>
          <w:szCs w:val="28"/>
        </w:rPr>
        <w:t xml:space="preserve">Trọng tài thương mại được các chuyên gia kinh tế đánh giá là phương thức giải quyết tranh chấp trong tương lai với nhiều ưu điểm nổi trội. Do vậy, Việt Nam muốn hội nhập vào nền kinh tế thế giới một cách nhanh chóng và bền vững thì phải nâng cao chất lượng giải quyết các vụ tranh chấp bằng trọng tài, cụ thể: </w:t>
      </w:r>
    </w:p>
    <w:p w:rsidR="0028644E" w:rsidRPr="0028644E" w:rsidRDefault="0028644E" w:rsidP="0028644E">
      <w:pPr>
        <w:spacing w:line="360" w:lineRule="auto"/>
        <w:ind w:firstLine="567"/>
        <w:jc w:val="both"/>
        <w:rPr>
          <w:rFonts w:eastAsiaTheme="majorEastAsia" w:cs="Times New Roman"/>
          <w:szCs w:val="28"/>
        </w:rPr>
      </w:pPr>
      <w:r w:rsidRPr="0028644E">
        <w:rPr>
          <w:rFonts w:eastAsiaTheme="majorEastAsia" w:cs="Times New Roman"/>
          <w:i/>
          <w:szCs w:val="28"/>
        </w:rPr>
        <w:t>Một là</w:t>
      </w:r>
      <w:r w:rsidRPr="0028644E">
        <w:rPr>
          <w:rFonts w:eastAsiaTheme="majorEastAsia" w:cs="Times New Roman"/>
          <w:szCs w:val="28"/>
        </w:rPr>
        <w:t xml:space="preserve">, cần không ngừng hoàn thiện hệ thống pháp luật nói chung và pháp luật về trọng tài nói riêng cho phù hợp với xu thế phát triển chung. Tạo dựng một hành lang pháp lý vững chắc cho cơ quan này có được vị thế trong vai trò giải quyết tranh chấp không kém cạnh gì Hội đông xét xử của Tòa án. </w:t>
      </w:r>
    </w:p>
    <w:p w:rsidR="0028644E" w:rsidRPr="0028644E" w:rsidRDefault="0028644E" w:rsidP="0028644E">
      <w:pPr>
        <w:spacing w:line="360" w:lineRule="auto"/>
        <w:ind w:firstLine="567"/>
        <w:jc w:val="both"/>
        <w:rPr>
          <w:rFonts w:eastAsiaTheme="majorEastAsia" w:cs="Times New Roman"/>
          <w:szCs w:val="28"/>
        </w:rPr>
      </w:pPr>
      <w:r w:rsidRPr="0028644E">
        <w:rPr>
          <w:rFonts w:eastAsiaTheme="majorEastAsia" w:cs="Times New Roman"/>
          <w:i/>
          <w:szCs w:val="28"/>
        </w:rPr>
        <w:t>Hai là</w:t>
      </w:r>
      <w:r w:rsidRPr="0028644E">
        <w:rPr>
          <w:rFonts w:eastAsiaTheme="majorEastAsia" w:cs="Times New Roman"/>
          <w:szCs w:val="28"/>
        </w:rPr>
        <w:t xml:space="preserve">, bên cạnh việc hoàn thiện hệ thống pháp luật, Nhà nước cũng cần có hành động cụ thể nhằm hỗ trợ cơ chế cho hoạt động này. Điển hình như như ở Trung Quốc, các Uỷ ban trọng tài được cung cấp trụ sở cùng phương tiện làm việc trong thời gian đầu trước khi tự hoạt động. Ngoài ra, cơ quan Nhà nước cần có những hành động cụ thể để các doanh nghiệp tiếp cận dịch vụ trọng tài bằng mọi hình thức như tổ chức hội thảo, tọa đàm, quảng bá trên báo, đài, trang thông tin điện tử về những ưu việt của phương thức giải quyết tranh chấp kinh doanh thương mại bằng trọng tài, lợi ích của các doanh nghiệp khi sử dụng dịch vụ này. [3, tr. 1-2] </w:t>
      </w:r>
    </w:p>
    <w:p w:rsidR="0028644E" w:rsidRDefault="0028644E" w:rsidP="0028644E">
      <w:pPr>
        <w:spacing w:line="360" w:lineRule="auto"/>
        <w:ind w:firstLine="567"/>
        <w:jc w:val="both"/>
        <w:rPr>
          <w:rFonts w:eastAsiaTheme="majorEastAsia" w:cs="Times New Roman"/>
          <w:szCs w:val="28"/>
        </w:rPr>
      </w:pPr>
      <w:r w:rsidRPr="0028644E">
        <w:rPr>
          <w:rFonts w:eastAsiaTheme="majorEastAsia" w:cs="Times New Roman"/>
          <w:i/>
          <w:szCs w:val="28"/>
        </w:rPr>
        <w:t>Ba là</w:t>
      </w:r>
      <w:r w:rsidRPr="0028644E">
        <w:rPr>
          <w:rFonts w:eastAsiaTheme="majorEastAsia" w:cs="Times New Roman"/>
          <w:szCs w:val="28"/>
        </w:rPr>
        <w:t xml:space="preserve">, tăng cường tuyên truyền, phố biến pháp luật về trọng tài cho các doanh nghiệp. Tuyên truyền, phổ biến cần có tổ chức, cách thức, kế hoạch và sự hỗ trợ của cơ quan Nhà nước. Đội ngũ tuyên truyền, phổ biến phải là những người có ý </w:t>
      </w:r>
      <w:r w:rsidRPr="0028644E">
        <w:rPr>
          <w:rFonts w:eastAsiaTheme="majorEastAsia" w:cs="Times New Roman"/>
          <w:szCs w:val="28"/>
        </w:rPr>
        <w:lastRenderedPageBreak/>
        <w:t xml:space="preserve">thức cao, am hiểu pháp luật trọng tài, có trình độ chuyên sâu như trọng tài viên, thẩm phán, luật sư, chuyên gia kinh tế, sinh viên luật… Công tác tuyên truyền, phổ biến cần có kinh phí ổn định, để hoạt động này diễn ra theo đúng kế hoạch, không bị gián đoạn, ảnh hưởng bởi kinh phí. Ngoài ra, công tác giảng dạy pháp luật trọng tài thương mại phải luôn có tính giáo dục rộng khắp, lan tỏa từ trường học, doanh nghiệp, cho đến những cán bộ quản lý doanh nghiệp, pháp chế doanh nghiệp. </w:t>
      </w:r>
    </w:p>
    <w:p w:rsidR="0028644E" w:rsidRPr="006D73A0" w:rsidRDefault="0028644E" w:rsidP="0028644E">
      <w:pPr>
        <w:widowControl w:val="0"/>
        <w:autoSpaceDE w:val="0"/>
        <w:autoSpaceDN w:val="0"/>
        <w:spacing w:before="1" w:after="0" w:line="348" w:lineRule="auto"/>
        <w:ind w:right="-2" w:firstLine="567"/>
        <w:jc w:val="both"/>
        <w:rPr>
          <w:rFonts w:eastAsia="Times New Roman" w:cs="Times New Roman"/>
          <w:sz w:val="26"/>
          <w:szCs w:val="26"/>
          <w:lang w:bidi="en-US"/>
        </w:rPr>
      </w:pPr>
      <w:r w:rsidRPr="006D73A0">
        <w:rPr>
          <w:rFonts w:eastAsia="Times New Roman" w:cs="Times New Roman"/>
          <w:sz w:val="26"/>
          <w:szCs w:val="26"/>
          <w:lang w:bidi="en-US"/>
        </w:rPr>
        <w:t xml:space="preserve">Quá trình hội nhập quốc tế đặt ra những nhiệm vụ nặng nề đối với ngành Tòa án Việt Nam trong việc giải quyết các tranh chấp kinh doanh thương mại, trọng tài là một trong những phương thức giải quyết tranh chấp ngoài Tòa án mang lại hiệu quả cao nhất và có ý nghĩa vô cùng quan trọng: </w:t>
      </w:r>
    </w:p>
    <w:p w:rsidR="0028644E" w:rsidRPr="006D73A0" w:rsidRDefault="0028644E" w:rsidP="0028644E">
      <w:pPr>
        <w:widowControl w:val="0"/>
        <w:autoSpaceDE w:val="0"/>
        <w:autoSpaceDN w:val="0"/>
        <w:spacing w:before="1" w:after="0" w:line="348" w:lineRule="auto"/>
        <w:ind w:right="-2" w:firstLine="567"/>
        <w:jc w:val="both"/>
        <w:rPr>
          <w:rFonts w:eastAsia="Times New Roman" w:cs="Times New Roman"/>
          <w:spacing w:val="2"/>
          <w:sz w:val="26"/>
          <w:szCs w:val="26"/>
          <w:lang w:bidi="en-US"/>
        </w:rPr>
      </w:pPr>
      <w:r w:rsidRPr="006D73A0">
        <w:rPr>
          <w:rFonts w:eastAsia="Times New Roman" w:cs="Times New Roman"/>
          <w:i/>
          <w:sz w:val="26"/>
          <w:szCs w:val="26"/>
          <w:lang w:bidi="en-US"/>
        </w:rPr>
        <w:t xml:space="preserve">Thứ nhất, </w:t>
      </w:r>
      <w:r w:rsidRPr="006D73A0">
        <w:rPr>
          <w:rFonts w:eastAsia="Times New Roman" w:cs="Times New Roman"/>
          <w:sz w:val="26"/>
          <w:szCs w:val="26"/>
          <w:lang w:bidi="en-US"/>
        </w:rPr>
        <w:t xml:space="preserve">phương thức này được sử dụng dựa trên sự thống nhất ý chí, sự tự do thỏa thuận của các chủ thể tham gia hoạt động kinh doanh thương mại khi có phát sinh tranh chấp giữa chính các chủ thể đó. </w:t>
      </w:r>
      <w:r w:rsidRPr="006D73A0">
        <w:rPr>
          <w:rFonts w:eastAsia="Times New Roman" w:cs="Times New Roman"/>
          <w:spacing w:val="2"/>
          <w:sz w:val="26"/>
          <w:szCs w:val="26"/>
          <w:lang w:bidi="en-US"/>
        </w:rPr>
        <w:t>Trọng tài giải quyết tranh chấp kinh doanh thương mại luôn mang lại những lợi ích thiết thực cho các nhà kinh doanh, tạo cơ hội cho các bên lựa chọn và chỉ định trọng tài viên mà họ tín nhiệm, điều này có ý nghĩa rất quan trọng để giúp các bên có được sự công bằng và thỏa mãn trong việc bảo vệ quyền và lợi ích hợp pháp của họ.</w:t>
      </w:r>
    </w:p>
    <w:p w:rsidR="0028644E" w:rsidRPr="006D73A0" w:rsidRDefault="0028644E" w:rsidP="0028644E">
      <w:pPr>
        <w:widowControl w:val="0"/>
        <w:autoSpaceDE w:val="0"/>
        <w:autoSpaceDN w:val="0"/>
        <w:spacing w:before="1" w:after="0" w:line="348" w:lineRule="auto"/>
        <w:ind w:right="-2" w:firstLine="567"/>
        <w:jc w:val="both"/>
        <w:rPr>
          <w:rFonts w:eastAsia="Times New Roman" w:cs="Times New Roman"/>
          <w:sz w:val="26"/>
          <w:szCs w:val="26"/>
          <w:lang w:bidi="en-US"/>
        </w:rPr>
      </w:pPr>
      <w:r w:rsidRPr="006D73A0">
        <w:rPr>
          <w:rFonts w:eastAsia="Times New Roman" w:cs="Times New Roman"/>
          <w:i/>
          <w:sz w:val="26"/>
          <w:szCs w:val="26"/>
          <w:lang w:bidi="en-US"/>
        </w:rPr>
        <w:t xml:space="preserve">Thứ hai, </w:t>
      </w:r>
      <w:r w:rsidRPr="006D73A0">
        <w:rPr>
          <w:rFonts w:eastAsia="Times New Roman" w:cs="Times New Roman"/>
          <w:sz w:val="26"/>
          <w:szCs w:val="26"/>
          <w:lang w:bidi="en-US"/>
        </w:rPr>
        <w:t>có thể nói sự ra đời của trọng tài là nhằm chia sẽ và giảm nhẹ gánh nặng xét xử cho Tòa án trong giải quyết tranh chấp kinh doanh thương mại, giảm bớt áp lực cho các người tiến hành tố tụng tại Tòa án, tạo sự hài hòa cân đối vấn đề giải quyết tranh chấp trong đời sống kinh tế xã</w:t>
      </w:r>
      <w:r w:rsidRPr="006D73A0">
        <w:rPr>
          <w:rFonts w:eastAsia="Times New Roman" w:cs="Times New Roman"/>
          <w:spacing w:val="-8"/>
          <w:sz w:val="26"/>
          <w:szCs w:val="26"/>
          <w:lang w:bidi="en-US"/>
        </w:rPr>
        <w:t xml:space="preserve"> </w:t>
      </w:r>
      <w:r w:rsidRPr="006D73A0">
        <w:rPr>
          <w:rFonts w:eastAsia="Times New Roman" w:cs="Times New Roman"/>
          <w:sz w:val="26"/>
          <w:szCs w:val="26"/>
          <w:lang w:bidi="en-US"/>
        </w:rPr>
        <w:t xml:space="preserve">hội. Đồng thời đáp ứng nhu cầu giải quyết tranh chấp kinh doanh thương mại một cách nhanh – gọn cho các nhà kinh doanh, hạn chế được sự tốn kém thời gian. </w:t>
      </w:r>
    </w:p>
    <w:p w:rsidR="0028644E" w:rsidRPr="006D73A0" w:rsidRDefault="0028644E" w:rsidP="0028644E">
      <w:pPr>
        <w:widowControl w:val="0"/>
        <w:autoSpaceDE w:val="0"/>
        <w:autoSpaceDN w:val="0"/>
        <w:spacing w:before="1" w:after="0" w:line="348" w:lineRule="auto"/>
        <w:ind w:right="-2" w:firstLine="567"/>
        <w:jc w:val="both"/>
        <w:rPr>
          <w:rFonts w:eastAsia="Times New Roman" w:cs="Times New Roman"/>
          <w:sz w:val="26"/>
          <w:szCs w:val="26"/>
          <w:lang w:bidi="en-US"/>
        </w:rPr>
      </w:pPr>
      <w:r w:rsidRPr="006D73A0">
        <w:rPr>
          <w:rFonts w:eastAsia="Times New Roman" w:cs="Times New Roman"/>
          <w:i/>
          <w:sz w:val="26"/>
          <w:szCs w:val="26"/>
          <w:lang w:bidi="en-US"/>
        </w:rPr>
        <w:t xml:space="preserve">Thứ ba, </w:t>
      </w:r>
      <w:r w:rsidRPr="006D73A0">
        <w:rPr>
          <w:rFonts w:eastAsia="Times New Roman" w:cs="Times New Roman"/>
          <w:sz w:val="26"/>
          <w:szCs w:val="26"/>
          <w:lang w:bidi="en-US"/>
        </w:rPr>
        <w:t>thực tiễn giải quyết bằng trọng tài thương mại sẽ chỉ ra được những bất cập trong các quy định của pháp luật và tạo định hướng cho việc hoàn thiện pháp luật, tạo hàng lang pháp lý nâng cao chất lượng kiểm soát hoạt động kinh doanh thương mại. Nhờ đó làm tiền đề động lực thúc đẩy sự phát triển kinh tế, bởi nó sẽ tháo bỏ các rào cản trong kinh doanh, thiết lập lại sự tin tưởng, tín nhiệm lẫn nhau cho các chủ thể tham gia hoạt động kinh doanh thương mại.</w:t>
      </w:r>
    </w:p>
    <w:p w:rsidR="0028644E" w:rsidRPr="0028644E" w:rsidRDefault="0028644E" w:rsidP="0028644E">
      <w:pPr>
        <w:spacing w:line="360" w:lineRule="auto"/>
        <w:ind w:firstLine="567"/>
        <w:jc w:val="both"/>
        <w:rPr>
          <w:rFonts w:cs="Times New Roman"/>
          <w:szCs w:val="28"/>
        </w:rPr>
      </w:pPr>
      <w:r>
        <w:br w:type="column"/>
      </w:r>
      <w:bookmarkStart w:id="2" w:name="_GoBack"/>
      <w:bookmarkEnd w:id="2"/>
      <w:r w:rsidRPr="0028644E">
        <w:rPr>
          <w:rFonts w:cs="Times New Roman"/>
          <w:szCs w:val="28"/>
        </w:rPr>
        <w:lastRenderedPageBreak/>
        <w:t>Trong xu thế hội nhập kinh tế quốc tế, việc xảy ra các tranh chấp thương mại là điều không thể tránh khỏi. Hiện có rất nhiều phương pháp giải quyết tranh chấp nhưng phương pháp giải quyết tranh chấp bằng trọng tài đang được xem trọng trên trường quốc tế. Tuy nhiên, làm thế nào để sáng tỏ những lợi thế trong giải quyết tranh chấp thương mại quốc tế bằng trọng tài và tận dụng hiệu quả hoạt động này tại Việt Nam đang là vấn đề đặt ra.</w:t>
      </w:r>
    </w:p>
    <w:p w:rsidR="0028644E" w:rsidRPr="0028644E" w:rsidRDefault="0028644E" w:rsidP="0028644E">
      <w:pPr>
        <w:spacing w:line="360" w:lineRule="auto"/>
        <w:ind w:firstLine="567"/>
        <w:jc w:val="both"/>
        <w:rPr>
          <w:rFonts w:cs="Times New Roman"/>
          <w:szCs w:val="28"/>
        </w:rPr>
      </w:pPr>
      <w:r w:rsidRPr="0028644E">
        <w:rPr>
          <w:rFonts w:cs="Times New Roman"/>
          <w:szCs w:val="28"/>
        </w:rPr>
        <w:t xml:space="preserve">Trọng tài là một trong những phương thức giải quyết tranh chấp ngoài Tòa án mang lại hiệu quả cao nhất, có thể nói sự ra đời của trọng tài là nhằm chia sẽ và giảm nhẹ gánh nặng xét xử cho Tòa án. Là một thiết chế tài phán tư, trọng tài có những điểm khác biệt so với phương thức Tòa án, như thẩm quyền phát sinh khi có thỏa thuận trọng tài, khả năng giải quyết nhanh chóng, mềm dẻo, linh hoạt, không mất nhiều thời gian nên phương thức trọng tài ngày càng sự quan tâm của các nhà kinh doanh. Một trở ngại to lớn là sự quan tâm này không đồng nghĩa sự am hiểu pháp luật trọng tài, dẫn đến phương thức giải quyết tranh chấp kinh doanh thương mại bằng trọng tài còn gặp nhiều rào cản ở Việt Nam. Tuy nhiên với những hoàn thiện về xây dựng pháp luật trọng tài và các chính sách hỗ trợ giáo dục, tuyên truyền đang ngày càng nâng vị thể của phương thức này lên một tầm cao mới. </w:t>
      </w:r>
    </w:p>
    <w:p w:rsidR="0028644E" w:rsidRPr="0028644E" w:rsidRDefault="0028644E" w:rsidP="0028644E">
      <w:pPr>
        <w:spacing w:line="360" w:lineRule="auto"/>
        <w:ind w:firstLine="567"/>
        <w:jc w:val="both"/>
        <w:rPr>
          <w:rFonts w:cs="Times New Roman"/>
          <w:szCs w:val="28"/>
        </w:rPr>
      </w:pPr>
    </w:p>
    <w:p w:rsidR="0028644E" w:rsidRPr="0028644E" w:rsidRDefault="0028644E" w:rsidP="0028644E">
      <w:pPr>
        <w:keepNext/>
        <w:keepLines/>
        <w:spacing w:before="240" w:after="0" w:line="360" w:lineRule="auto"/>
        <w:ind w:firstLine="567"/>
        <w:jc w:val="center"/>
        <w:outlineLvl w:val="0"/>
        <w:rPr>
          <w:rFonts w:cs="Times New Roman"/>
          <w:szCs w:val="28"/>
        </w:rPr>
      </w:pPr>
    </w:p>
    <w:p w:rsidR="0028644E" w:rsidRPr="0028644E" w:rsidRDefault="0028644E" w:rsidP="0028644E">
      <w:pPr>
        <w:keepNext/>
        <w:keepLines/>
        <w:spacing w:before="240" w:after="0" w:line="360" w:lineRule="auto"/>
        <w:ind w:firstLine="567"/>
        <w:jc w:val="center"/>
        <w:outlineLvl w:val="0"/>
        <w:rPr>
          <w:rFonts w:cs="Times New Roman"/>
          <w:szCs w:val="28"/>
        </w:rPr>
      </w:pPr>
      <w:r w:rsidRPr="0028644E">
        <w:rPr>
          <w:rFonts w:cs="Times New Roman"/>
          <w:szCs w:val="28"/>
        </w:rPr>
        <w:t xml:space="preserve"> </w:t>
      </w:r>
    </w:p>
    <w:p w:rsidR="0028644E" w:rsidRPr="0028644E" w:rsidRDefault="0028644E" w:rsidP="0028644E">
      <w:pPr>
        <w:keepNext/>
        <w:keepLines/>
        <w:spacing w:before="240" w:after="0" w:line="360" w:lineRule="auto"/>
        <w:ind w:firstLine="567"/>
        <w:jc w:val="center"/>
        <w:outlineLvl w:val="0"/>
        <w:rPr>
          <w:rFonts w:eastAsiaTheme="majorEastAsia" w:cs="Times New Roman"/>
          <w:b/>
          <w:szCs w:val="28"/>
        </w:rPr>
      </w:pPr>
      <w:r w:rsidRPr="0028644E">
        <w:rPr>
          <w:rFonts w:cs="Times New Roman"/>
          <w:szCs w:val="28"/>
        </w:rPr>
        <w:br w:type="column"/>
      </w:r>
      <w:bookmarkStart w:id="3" w:name="_Toc2716716"/>
      <w:r w:rsidRPr="0028644E">
        <w:rPr>
          <w:rFonts w:eastAsiaTheme="majorEastAsia" w:cs="Times New Roman"/>
          <w:b/>
          <w:szCs w:val="28"/>
        </w:rPr>
        <w:lastRenderedPageBreak/>
        <w:t>DANH MỤC TÀI LIỆU THAM KHẢO</w:t>
      </w:r>
      <w:bookmarkEnd w:id="3"/>
    </w:p>
    <w:p w:rsidR="0028644E" w:rsidRPr="0028644E" w:rsidRDefault="0028644E" w:rsidP="0028644E">
      <w:pPr>
        <w:jc w:val="both"/>
      </w:pPr>
    </w:p>
    <w:p w:rsidR="0028644E" w:rsidRPr="0028644E" w:rsidRDefault="0028644E" w:rsidP="0028644E">
      <w:pPr>
        <w:spacing w:line="360" w:lineRule="auto"/>
        <w:ind w:firstLine="567"/>
        <w:jc w:val="both"/>
      </w:pPr>
      <w:r w:rsidRPr="0028644E">
        <w:rPr>
          <w:b/>
        </w:rPr>
        <w:t>1</w:t>
      </w:r>
      <w:r w:rsidRPr="0028644E">
        <w:t xml:space="preserve">. Vũ Ánh Dương (2003), </w:t>
      </w:r>
      <w:r w:rsidRPr="0028644E">
        <w:rPr>
          <w:i/>
        </w:rPr>
        <w:t>Vai trò của Tòa án trong hoạt động giải quyết tranh chấp thương mại bằng trọng tài ở Việt Nam</w:t>
      </w:r>
      <w:r w:rsidRPr="0028644E">
        <w:t xml:space="preserve">, Luật văn thạc sĩ Luật học, Viện Nghiên cứu Nhà nước và Pháp luật, tr. 67-70. </w:t>
      </w:r>
    </w:p>
    <w:p w:rsidR="0028644E" w:rsidRPr="0028644E" w:rsidRDefault="0028644E" w:rsidP="0028644E">
      <w:pPr>
        <w:spacing w:line="360" w:lineRule="auto"/>
        <w:ind w:firstLine="567"/>
        <w:jc w:val="both"/>
      </w:pPr>
      <w:r w:rsidRPr="0028644E">
        <w:t xml:space="preserve">2. Đỗ Văn Đại (2007), </w:t>
      </w:r>
      <w:r w:rsidRPr="0028644E">
        <w:rPr>
          <w:i/>
        </w:rPr>
        <w:t>Giải quyết tranh chấp bằng phương thức trọng tài ở Việt Nam</w:t>
      </w:r>
      <w:r w:rsidRPr="0028644E">
        <w:t xml:space="preserve">, Tạp chí Khoa học pháp lý số 6, tr. 1-6. </w:t>
      </w:r>
    </w:p>
    <w:p w:rsidR="0028644E" w:rsidRPr="0028644E" w:rsidRDefault="0028644E" w:rsidP="0028644E">
      <w:pPr>
        <w:spacing w:line="360" w:lineRule="auto"/>
        <w:ind w:firstLine="567"/>
        <w:jc w:val="both"/>
      </w:pPr>
      <w:r w:rsidRPr="0028644E">
        <w:t xml:space="preserve">3. Đỗ Văn Đại (2008), </w:t>
      </w:r>
      <w:r w:rsidRPr="0028644E">
        <w:rPr>
          <w:i/>
        </w:rPr>
        <w:t>Làm thế nào để trọng tài Việt Nam là chỗ dựa của doanh nghiệp</w:t>
      </w:r>
      <w:r w:rsidRPr="0028644E">
        <w:t xml:space="preserve">, Tạp chí Nghiên cứu lập pháp số 2, tr. 1-4. </w:t>
      </w:r>
    </w:p>
    <w:p w:rsidR="0028644E" w:rsidRPr="0028644E" w:rsidRDefault="0028644E" w:rsidP="0028644E">
      <w:pPr>
        <w:spacing w:line="360" w:lineRule="auto"/>
        <w:ind w:firstLine="567"/>
        <w:jc w:val="both"/>
      </w:pPr>
      <w:r w:rsidRPr="0028644E">
        <w:t xml:space="preserve">4. Đỗ Văn Đại – Trần Hoàng Hải (2011), </w:t>
      </w:r>
      <w:r w:rsidRPr="0028644E">
        <w:rPr>
          <w:i/>
        </w:rPr>
        <w:t>Pháp luật Việt Nam về Trọng tài thương mại</w:t>
      </w:r>
      <w:r w:rsidRPr="0028644E">
        <w:t xml:space="preserve">, NXB Chính trị Quốc gia, Hà Nội. </w:t>
      </w:r>
    </w:p>
    <w:p w:rsidR="0028644E" w:rsidRPr="0028644E" w:rsidRDefault="0028644E" w:rsidP="0028644E">
      <w:pPr>
        <w:spacing w:line="360" w:lineRule="auto"/>
        <w:ind w:firstLine="567"/>
        <w:jc w:val="both"/>
      </w:pPr>
      <w:r w:rsidRPr="0028644E">
        <w:t xml:space="preserve">5. Đỗ Văn Đại – Trần Hoàng Hải (2010), </w:t>
      </w:r>
      <w:r w:rsidRPr="0028644E">
        <w:rPr>
          <w:i/>
        </w:rPr>
        <w:t>Tuyển tập các bản án, quyết định của Tòa án Việt Nam về Trọng tài thương mại</w:t>
      </w:r>
      <w:r w:rsidRPr="0028644E">
        <w:t xml:space="preserve">, NXB Lao động, Hà Nội. </w:t>
      </w:r>
    </w:p>
    <w:p w:rsidR="0028644E" w:rsidRPr="0028644E" w:rsidRDefault="0028644E" w:rsidP="0028644E">
      <w:pPr>
        <w:spacing w:line="360" w:lineRule="auto"/>
        <w:ind w:firstLine="567"/>
        <w:jc w:val="both"/>
      </w:pPr>
      <w:r w:rsidRPr="0028644E">
        <w:t xml:space="preserve">6. Đại học Luật Hà Nội, </w:t>
      </w:r>
      <w:r w:rsidRPr="0028644E">
        <w:rPr>
          <w:i/>
        </w:rPr>
        <w:t>Giáo trình Luật thương mại tập I</w:t>
      </w:r>
      <w:r w:rsidRPr="0028644E">
        <w:t xml:space="preserve">, Nhà xuất bản Công an nhân dân, 2017. </w:t>
      </w:r>
    </w:p>
    <w:p w:rsidR="0028644E" w:rsidRPr="0028644E" w:rsidRDefault="0028644E" w:rsidP="0028644E">
      <w:pPr>
        <w:spacing w:line="360" w:lineRule="auto"/>
        <w:ind w:firstLine="567"/>
        <w:jc w:val="both"/>
      </w:pPr>
      <w:r w:rsidRPr="0028644E">
        <w:t xml:space="preserve">7. Phạm Công Thiên Đỉnh, </w:t>
      </w:r>
      <w:r w:rsidRPr="0028644E">
        <w:rPr>
          <w:i/>
        </w:rPr>
        <w:t>Giải quyết tranh chấp hợp đồng bằng trọng tài thương mại theo pháp luật Việt Nam</w:t>
      </w:r>
      <w:r w:rsidRPr="0028644E">
        <w:t>, Luận văn thạc sĩ, Học viện Khoa học Xã hội.</w:t>
      </w:r>
    </w:p>
    <w:p w:rsidR="0028644E" w:rsidRPr="0028644E" w:rsidRDefault="0028644E" w:rsidP="0028644E">
      <w:pPr>
        <w:spacing w:line="360" w:lineRule="auto"/>
        <w:ind w:firstLine="567"/>
        <w:jc w:val="both"/>
      </w:pPr>
      <w:r w:rsidRPr="0028644E">
        <w:t xml:space="preserve">8. Trần Thu Hoài – Trương Hồng Quang (2012), </w:t>
      </w:r>
      <w:r w:rsidRPr="0028644E">
        <w:rPr>
          <w:i/>
        </w:rPr>
        <w:t>Hỏi – đáp về Luật Trọng tài thương mại năm 2010</w:t>
      </w:r>
      <w:r w:rsidRPr="0028644E">
        <w:t xml:space="preserve">, NXB Chính trị Quốc gia, Hà Nội. </w:t>
      </w:r>
    </w:p>
    <w:p w:rsidR="0028644E" w:rsidRPr="0028644E" w:rsidRDefault="0028644E" w:rsidP="0028644E">
      <w:pPr>
        <w:spacing w:line="360" w:lineRule="auto"/>
        <w:ind w:firstLine="567"/>
        <w:jc w:val="both"/>
      </w:pPr>
      <w:r w:rsidRPr="0028644E">
        <w:t xml:space="preserve">9. Tưởng Duy Lượng (2016), </w:t>
      </w:r>
      <w:r w:rsidRPr="0028644E">
        <w:rPr>
          <w:i/>
        </w:rPr>
        <w:t>Đôi điều suy nghĩ về quy định tại Điểm d Khoản 2 Điều 68 Luật Trọng tài thương mại và thực tiễn xét xử</w:t>
      </w:r>
      <w:r w:rsidRPr="0028644E">
        <w:t>, Tạp chí Tòa án nhân dân số 7.</w:t>
      </w:r>
    </w:p>
    <w:p w:rsidR="0028644E" w:rsidRPr="0028644E" w:rsidRDefault="0028644E" w:rsidP="0028644E">
      <w:pPr>
        <w:spacing w:line="360" w:lineRule="auto"/>
        <w:ind w:firstLine="567"/>
        <w:jc w:val="both"/>
      </w:pPr>
      <w:r w:rsidRPr="0028644E">
        <w:t xml:space="preserve">10. Tưởng Duy Lượng (2015), </w:t>
      </w:r>
      <w:r w:rsidRPr="0028644E">
        <w:rPr>
          <w:i/>
        </w:rPr>
        <w:t>Thẩm quyền giải quyết tranh chấp của Tòa án và việc phân biệt thẩm quyền giải quyết tranh chấp giữa Trọng tài và Tòa án theo quy định của Luật Trọng tài thương mại và Nghị quyết của Hội đồng thẩm phán Tòa án nhân dân tối cao</w:t>
      </w:r>
      <w:r w:rsidRPr="0028644E">
        <w:t>, Tạp chí Tòa án nhân dân số 16.</w:t>
      </w:r>
    </w:p>
    <w:p w:rsidR="0028644E" w:rsidRPr="0028644E" w:rsidRDefault="0028644E" w:rsidP="0028644E">
      <w:pPr>
        <w:spacing w:line="360" w:lineRule="auto"/>
        <w:ind w:firstLine="567"/>
        <w:jc w:val="both"/>
      </w:pPr>
      <w:r w:rsidRPr="0028644E">
        <w:lastRenderedPageBreak/>
        <w:t xml:space="preserve">11. Khoa Luật- Đại học Quốc gia Hà Nội, </w:t>
      </w:r>
      <w:r w:rsidRPr="0028644E">
        <w:rPr>
          <w:i/>
        </w:rPr>
        <w:t>Giáo trình Luật thương mại phần chung và thương nhân</w:t>
      </w:r>
      <w:r w:rsidRPr="0028644E">
        <w:t>, Nhà xuất bản Đại học Quốc gia Hà Nội, 2013</w:t>
      </w:r>
    </w:p>
    <w:p w:rsidR="0028644E" w:rsidRPr="0028644E" w:rsidRDefault="0028644E" w:rsidP="0028644E">
      <w:pPr>
        <w:spacing w:line="360" w:lineRule="auto"/>
        <w:ind w:firstLine="567"/>
        <w:jc w:val="both"/>
      </w:pPr>
      <w:r w:rsidRPr="0028644E">
        <w:t xml:space="preserve">12. Trương Nhật Quang, </w:t>
      </w:r>
      <w:r w:rsidRPr="0028644E">
        <w:rPr>
          <w:i/>
        </w:rPr>
        <w:t>Pháp luật về doanh nghiệp – Các vấn đề pháp lý cơ bản</w:t>
      </w:r>
      <w:r w:rsidRPr="0028644E">
        <w:t xml:space="preserve">, Nhà xuất bản dân trí, 2016. </w:t>
      </w:r>
    </w:p>
    <w:p w:rsidR="00F75429" w:rsidRDefault="00F75429"/>
    <w:sectPr w:rsidR="00F75429"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BA"/>
    <w:rsid w:val="0028644E"/>
    <w:rsid w:val="00533AD4"/>
    <w:rsid w:val="007935BA"/>
    <w:rsid w:val="00846758"/>
    <w:rsid w:val="008D7451"/>
    <w:rsid w:val="00F7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1AC6"/>
  <w15:chartTrackingRefBased/>
  <w15:docId w15:val="{95E15EBF-3BED-4106-8802-9F101978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2019-11-17T08:15:00Z</dcterms:created>
  <dcterms:modified xsi:type="dcterms:W3CDTF">2019-12-18T16:13:00Z</dcterms:modified>
</cp:coreProperties>
</file>