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C0" w:rsidRDefault="003512C0" w:rsidP="003512C0">
      <w:pPr>
        <w:widowControl w:val="0"/>
        <w:spacing w:after="0" w:line="360" w:lineRule="auto"/>
        <w:ind w:firstLine="720"/>
        <w:jc w:val="center"/>
        <w:textAlignment w:val="baseline"/>
        <w:rPr>
          <w:rFonts w:eastAsia="Times New Roman"/>
          <w:b/>
          <w:color w:val="000000"/>
          <w:szCs w:val="28"/>
          <w:lang w:val="en-US"/>
        </w:rPr>
      </w:pPr>
      <w:bookmarkStart w:id="0" w:name="_GoBack"/>
      <w:r w:rsidRPr="003512C0">
        <w:rPr>
          <w:rFonts w:eastAsia="Times New Roman"/>
          <w:b/>
          <w:color w:val="000000"/>
          <w:szCs w:val="28"/>
          <w:lang w:val="en-US"/>
        </w:rPr>
        <w:t xml:space="preserve">MỘT SỐ KIẾN NGHỊ NHẰM ĐẢM BẢO </w:t>
      </w:r>
      <w:r w:rsidR="00F0330A">
        <w:rPr>
          <w:rFonts w:eastAsia="Times New Roman"/>
          <w:b/>
          <w:color w:val="000000"/>
          <w:szCs w:val="28"/>
          <w:lang w:val="en-US"/>
        </w:rPr>
        <w:t xml:space="preserve">NGUYÊN </w:t>
      </w:r>
      <w:proofErr w:type="gramStart"/>
      <w:r w:rsidR="00F0330A">
        <w:rPr>
          <w:rFonts w:eastAsia="Times New Roman"/>
          <w:b/>
          <w:color w:val="000000"/>
          <w:szCs w:val="28"/>
          <w:lang w:val="en-US"/>
        </w:rPr>
        <w:t xml:space="preserve">TẮC </w:t>
      </w:r>
      <w:r w:rsidRPr="003512C0">
        <w:rPr>
          <w:rFonts w:eastAsia="Times New Roman"/>
          <w:b/>
          <w:color w:val="000000"/>
          <w:szCs w:val="28"/>
          <w:lang w:val="en-US"/>
        </w:rPr>
        <w:t xml:space="preserve"> CÔNG</w:t>
      </w:r>
      <w:proofErr w:type="gramEnd"/>
      <w:r w:rsidRPr="003512C0">
        <w:rPr>
          <w:rFonts w:eastAsia="Times New Roman"/>
          <w:b/>
          <w:color w:val="000000"/>
          <w:szCs w:val="28"/>
          <w:lang w:val="en-US"/>
        </w:rPr>
        <w:t xml:space="preserve"> BẰNG TRONG THUẾ TIÊU THỤ ĐẶC BIỆT</w:t>
      </w:r>
    </w:p>
    <w:p w:rsidR="003512C0" w:rsidRPr="003512C0" w:rsidRDefault="003512C0" w:rsidP="003512C0">
      <w:pPr>
        <w:widowControl w:val="0"/>
        <w:spacing w:after="0" w:line="360" w:lineRule="auto"/>
        <w:ind w:firstLine="720"/>
        <w:jc w:val="center"/>
        <w:textAlignment w:val="baseline"/>
        <w:rPr>
          <w:rFonts w:eastAsia="Times New Roman"/>
          <w:b/>
          <w:color w:val="000000"/>
          <w:szCs w:val="28"/>
          <w:lang w:val="en-US"/>
        </w:rPr>
      </w:pPr>
    </w:p>
    <w:p w:rsidR="003512C0" w:rsidRPr="00944148" w:rsidRDefault="003512C0" w:rsidP="003512C0">
      <w:pPr>
        <w:widowControl w:val="0"/>
        <w:spacing w:after="0" w:line="360" w:lineRule="auto"/>
        <w:ind w:firstLine="720"/>
        <w:jc w:val="both"/>
        <w:textAlignment w:val="baseline"/>
        <w:rPr>
          <w:rFonts w:eastAsia="Times New Roman"/>
          <w:color w:val="000000"/>
          <w:szCs w:val="28"/>
          <w:lang w:val="en-US"/>
        </w:rPr>
      </w:pPr>
      <w:r>
        <w:rPr>
          <w:rFonts w:eastAsia="Times New Roman"/>
          <w:color w:val="000000"/>
          <w:szCs w:val="28"/>
          <w:lang w:val="en-US"/>
        </w:rPr>
        <w:t>Mặc</w:t>
      </w:r>
      <w:r w:rsidRPr="00944148">
        <w:rPr>
          <w:rFonts w:eastAsia="Times New Roman"/>
          <w:color w:val="000000"/>
          <w:szCs w:val="28"/>
        </w:rPr>
        <w:t xml:space="preserve"> dù thuế TTĐB là một thuế gián </w:t>
      </w:r>
      <w:proofErr w:type="gramStart"/>
      <w:r w:rsidRPr="00944148">
        <w:rPr>
          <w:rFonts w:eastAsia="Times New Roman"/>
          <w:color w:val="000000"/>
          <w:szCs w:val="28"/>
        </w:rPr>
        <w:t>thu</w:t>
      </w:r>
      <w:proofErr w:type="gramEnd"/>
      <w:r w:rsidRPr="00944148">
        <w:rPr>
          <w:rFonts w:eastAsia="Times New Roman"/>
          <w:color w:val="000000"/>
          <w:szCs w:val="28"/>
        </w:rPr>
        <w:t xml:space="preserve">, tuy nhiên </w:t>
      </w:r>
      <w:r w:rsidRPr="00944148">
        <w:rPr>
          <w:rFonts w:eastAsia="Times New Roman"/>
          <w:color w:val="000000"/>
          <w:szCs w:val="28"/>
          <w:lang w:val="en-US"/>
        </w:rPr>
        <w:t>biểu hiện của nguyên tắc</w:t>
      </w:r>
      <w:r w:rsidRPr="00944148">
        <w:rPr>
          <w:rFonts w:eastAsia="Times New Roman"/>
          <w:color w:val="000000"/>
          <w:szCs w:val="28"/>
        </w:rPr>
        <w:t xml:space="preserve"> công bằng </w:t>
      </w:r>
      <w:r w:rsidRPr="00944148">
        <w:rPr>
          <w:rFonts w:eastAsia="Times New Roman"/>
          <w:color w:val="000000"/>
          <w:szCs w:val="28"/>
          <w:lang w:val="en-US"/>
        </w:rPr>
        <w:t xml:space="preserve">thể hiện những đặc trưng khác biệt so với Luật thuế </w:t>
      </w:r>
      <w:r>
        <w:rPr>
          <w:rFonts w:eastAsia="Times New Roman"/>
          <w:color w:val="000000"/>
          <w:szCs w:val="28"/>
          <w:lang w:val="en-US"/>
        </w:rPr>
        <w:t>giá trị gia tăng</w:t>
      </w:r>
      <w:r w:rsidRPr="00944148">
        <w:rPr>
          <w:rFonts w:eastAsia="Times New Roman"/>
          <w:color w:val="000000"/>
          <w:szCs w:val="28"/>
          <w:lang w:val="en-US"/>
        </w:rPr>
        <w:t>. Với những đặc trưng của loại thuế</w:t>
      </w:r>
      <w:r>
        <w:rPr>
          <w:rFonts w:eastAsia="Times New Roman"/>
          <w:color w:val="000000"/>
          <w:szCs w:val="28"/>
          <w:lang w:val="en-US"/>
        </w:rPr>
        <w:t xml:space="preserve"> mang tính định hướng tiêu dùng và sản xuất</w:t>
      </w:r>
      <w:r w:rsidRPr="00944148">
        <w:rPr>
          <w:rFonts w:eastAsia="Times New Roman"/>
          <w:color w:val="000000"/>
          <w:szCs w:val="28"/>
          <w:lang w:val="en-US"/>
        </w:rPr>
        <w:t xml:space="preserve">, </w:t>
      </w:r>
      <w:r>
        <w:rPr>
          <w:rFonts w:eastAsia="Times New Roman"/>
          <w:color w:val="000000"/>
          <w:szCs w:val="28"/>
          <w:lang w:val="en-US"/>
        </w:rPr>
        <w:t xml:space="preserve">để đảm bảo nguyên tắc công bằng </w:t>
      </w:r>
      <w:proofErr w:type="gramStart"/>
      <w:r>
        <w:rPr>
          <w:rFonts w:eastAsia="Times New Roman"/>
          <w:color w:val="000000"/>
          <w:szCs w:val="28"/>
          <w:lang w:val="en-US"/>
        </w:rPr>
        <w:t>chung</w:t>
      </w:r>
      <w:proofErr w:type="gramEnd"/>
      <w:r>
        <w:rPr>
          <w:rFonts w:eastAsia="Times New Roman"/>
          <w:color w:val="000000"/>
          <w:szCs w:val="28"/>
          <w:lang w:val="en-US"/>
        </w:rPr>
        <w:t xml:space="preserve"> của Pháp luật thuế và nguyên tắc công bằng mang </w:t>
      </w:r>
      <w:r w:rsidRPr="00F0330A">
        <w:rPr>
          <w:rFonts w:eastAsia="Times New Roman"/>
          <w:color w:val="000000"/>
          <w:spacing w:val="-6"/>
          <w:szCs w:val="28"/>
          <w:lang w:val="en-US"/>
        </w:rPr>
        <w:t xml:space="preserve">tính đặc thù, thiết nghĩ cần có những cách những </w:t>
      </w:r>
      <w:r w:rsidR="00F0330A" w:rsidRPr="00F0330A">
        <w:rPr>
          <w:rFonts w:eastAsia="Times New Roman"/>
          <w:color w:val="000000"/>
          <w:spacing w:val="-6"/>
          <w:szCs w:val="28"/>
          <w:lang w:val="en-US"/>
        </w:rPr>
        <w:t>cách nhìn mới và quy định mới, cụ thể</w:t>
      </w:r>
    </w:p>
    <w:p w:rsidR="003512C0" w:rsidRPr="00944148" w:rsidRDefault="003512C0" w:rsidP="003512C0">
      <w:pPr>
        <w:widowControl w:val="0"/>
        <w:spacing w:after="0" w:line="360" w:lineRule="auto"/>
        <w:ind w:firstLine="720"/>
        <w:jc w:val="both"/>
        <w:textAlignment w:val="baseline"/>
        <w:rPr>
          <w:rFonts w:eastAsia="Times New Roman"/>
          <w:i/>
          <w:color w:val="000000"/>
          <w:szCs w:val="28"/>
          <w:lang w:val="en-US"/>
        </w:rPr>
      </w:pPr>
      <w:r w:rsidRPr="00944148">
        <w:rPr>
          <w:rFonts w:eastAsia="Times New Roman"/>
          <w:i/>
          <w:color w:val="000000"/>
          <w:szCs w:val="28"/>
          <w:lang w:val="en-US"/>
        </w:rPr>
        <w:t>Một là, c</w:t>
      </w:r>
      <w:r w:rsidRPr="00944148">
        <w:rPr>
          <w:rFonts w:eastAsia="Times New Roman"/>
          <w:i/>
          <w:color w:val="000000"/>
          <w:szCs w:val="28"/>
        </w:rPr>
        <w:t>ần</w:t>
      </w:r>
      <w:r w:rsidRPr="00944148">
        <w:rPr>
          <w:rFonts w:eastAsia="Times New Roman"/>
          <w:i/>
          <w:color w:val="000000"/>
          <w:szCs w:val="28"/>
          <w:lang w:val="en-US"/>
        </w:rPr>
        <w:t xml:space="preserve"> </w:t>
      </w:r>
      <w:r w:rsidRPr="00944148">
        <w:rPr>
          <w:rFonts w:eastAsia="Times New Roman"/>
          <w:i/>
          <w:color w:val="000000"/>
          <w:szCs w:val="28"/>
        </w:rPr>
        <w:t xml:space="preserve">tính phí bảo vệ môi trường và phụ </w:t>
      </w:r>
      <w:proofErr w:type="gramStart"/>
      <w:r w:rsidRPr="00944148">
        <w:rPr>
          <w:rFonts w:eastAsia="Times New Roman"/>
          <w:i/>
          <w:color w:val="000000"/>
          <w:szCs w:val="28"/>
        </w:rPr>
        <w:t>thu</w:t>
      </w:r>
      <w:proofErr w:type="gramEnd"/>
      <w:r w:rsidRPr="00944148">
        <w:rPr>
          <w:rFonts w:eastAsia="Times New Roman"/>
          <w:i/>
          <w:color w:val="000000"/>
          <w:szCs w:val="28"/>
        </w:rPr>
        <w:t xml:space="preserve"> sức khỏe trong giá tính thuế</w:t>
      </w:r>
      <w:r w:rsidRPr="00944148">
        <w:rPr>
          <w:rFonts w:eastAsia="Times New Roman"/>
          <w:i/>
          <w:color w:val="000000"/>
          <w:szCs w:val="28"/>
          <w:lang w:val="en-US"/>
        </w:rPr>
        <w:t xml:space="preserve"> đối với nhóm hàng hóa, dịch vụ cần hạn chế tiêu dùng</w:t>
      </w:r>
    </w:p>
    <w:p w:rsidR="003512C0" w:rsidRPr="00944148" w:rsidRDefault="003512C0" w:rsidP="003512C0">
      <w:pPr>
        <w:widowControl w:val="0"/>
        <w:spacing w:after="0" w:line="360" w:lineRule="auto"/>
        <w:ind w:firstLine="720"/>
        <w:jc w:val="both"/>
        <w:textAlignment w:val="baseline"/>
        <w:rPr>
          <w:rFonts w:eastAsia="Times New Roman"/>
          <w:color w:val="000000"/>
          <w:szCs w:val="28"/>
          <w:lang w:val="en-US"/>
        </w:rPr>
      </w:pPr>
      <w:r w:rsidRPr="00944148">
        <w:rPr>
          <w:rFonts w:eastAsia="Times New Roman"/>
          <w:color w:val="000000"/>
          <w:szCs w:val="28"/>
        </w:rPr>
        <w:t xml:space="preserve">Hàng hóa, dịch vụ </w:t>
      </w:r>
      <w:r w:rsidRPr="00944148">
        <w:rPr>
          <w:rFonts w:eastAsia="Times New Roman"/>
          <w:color w:val="000000"/>
          <w:szCs w:val="28"/>
          <w:lang w:val="en-US"/>
        </w:rPr>
        <w:t xml:space="preserve">thuộc nhóm cần kiểm soát và </w:t>
      </w:r>
      <w:r w:rsidRPr="00944148">
        <w:rPr>
          <w:rFonts w:eastAsia="Times New Roman"/>
          <w:color w:val="000000"/>
          <w:szCs w:val="28"/>
        </w:rPr>
        <w:t xml:space="preserve">hạn chế tiêu dùng </w:t>
      </w:r>
      <w:r w:rsidRPr="00944148">
        <w:rPr>
          <w:rFonts w:eastAsia="Times New Roman"/>
          <w:color w:val="000000"/>
          <w:szCs w:val="28"/>
          <w:lang w:val="en-US"/>
        </w:rPr>
        <w:t xml:space="preserve">vì </w:t>
      </w:r>
      <w:r w:rsidRPr="00944148">
        <w:rPr>
          <w:rFonts w:eastAsia="Times New Roman"/>
          <w:color w:val="000000"/>
          <w:szCs w:val="28"/>
        </w:rPr>
        <w:t xml:space="preserve">việc sử dụng </w:t>
      </w:r>
      <w:r w:rsidRPr="00944148">
        <w:rPr>
          <w:rFonts w:eastAsia="Times New Roman"/>
          <w:color w:val="000000"/>
          <w:szCs w:val="28"/>
          <w:lang w:val="en-US"/>
        </w:rPr>
        <w:t xml:space="preserve">nhóm hàng hóa, dịch vụ này </w:t>
      </w:r>
      <w:r w:rsidRPr="00944148">
        <w:rPr>
          <w:rFonts w:eastAsia="Times New Roman"/>
          <w:color w:val="000000"/>
          <w:szCs w:val="28"/>
        </w:rPr>
        <w:t>dễ gây ra các tác động tiêu cực</w:t>
      </w:r>
      <w:r w:rsidRPr="00944148">
        <w:rPr>
          <w:rFonts w:eastAsia="Times New Roman"/>
          <w:color w:val="000000"/>
          <w:szCs w:val="28"/>
          <w:lang w:val="en-US"/>
        </w:rPr>
        <w:t xml:space="preserve"> đối với xã hội.</w:t>
      </w:r>
      <w:r w:rsidRPr="00944148">
        <w:rPr>
          <w:rFonts w:eastAsia="Times New Roman"/>
          <w:color w:val="000000"/>
          <w:szCs w:val="28"/>
        </w:rPr>
        <w:t xml:space="preserve"> </w:t>
      </w:r>
      <w:r w:rsidRPr="00944148">
        <w:rPr>
          <w:rFonts w:eastAsia="Times New Roman"/>
          <w:color w:val="000000"/>
          <w:szCs w:val="28"/>
          <w:lang w:val="en-US"/>
        </w:rPr>
        <w:t>Ảnh hưởng trực tiếp đến sức khỏe cá nhân người tiêu dùng và gián tiếp đối với cộng đồng, gây ô nhiễm</w:t>
      </w:r>
      <w:r w:rsidRPr="00944148">
        <w:rPr>
          <w:rFonts w:eastAsia="Times New Roman"/>
          <w:color w:val="000000"/>
          <w:szCs w:val="28"/>
        </w:rPr>
        <w:t xml:space="preserve"> môi trường</w:t>
      </w:r>
      <w:r w:rsidRPr="00944148">
        <w:rPr>
          <w:rFonts w:eastAsia="Times New Roman"/>
          <w:color w:val="000000"/>
          <w:szCs w:val="28"/>
          <w:lang w:val="en-US"/>
        </w:rPr>
        <w:t xml:space="preserve"> sống, tạo</w:t>
      </w:r>
      <w:r w:rsidRPr="00944148">
        <w:rPr>
          <w:rFonts w:eastAsia="Times New Roman"/>
          <w:color w:val="000000"/>
          <w:szCs w:val="28"/>
        </w:rPr>
        <w:t xml:space="preserve"> ra gánh nặng cho </w:t>
      </w:r>
      <w:r w:rsidRPr="00944148">
        <w:rPr>
          <w:rFonts w:eastAsia="Times New Roman"/>
          <w:color w:val="000000"/>
          <w:szCs w:val="28"/>
          <w:lang w:val="en-US"/>
        </w:rPr>
        <w:t>Nhà nước</w:t>
      </w:r>
      <w:r w:rsidRPr="00944148">
        <w:rPr>
          <w:rFonts w:eastAsia="Times New Roman"/>
          <w:color w:val="000000"/>
          <w:szCs w:val="28"/>
        </w:rPr>
        <w:t xml:space="preserve"> </w:t>
      </w:r>
      <w:r w:rsidRPr="00944148">
        <w:rPr>
          <w:rFonts w:eastAsia="Times New Roman"/>
          <w:color w:val="000000"/>
          <w:szCs w:val="28"/>
          <w:lang w:val="en-US"/>
        </w:rPr>
        <w:t>về trật tự, an toàn và đạo đức xã hội. Là căn nguyên của nhiều tệ nạn xã hội. Điển hình như thuốc lá và đồ nướng có cồn, dịch vụ karaoke, casino</w:t>
      </w:r>
      <w:proofErr w:type="gramStart"/>
      <w:r w:rsidRPr="00944148">
        <w:rPr>
          <w:rFonts w:eastAsia="Times New Roman"/>
          <w:color w:val="000000"/>
          <w:szCs w:val="28"/>
          <w:lang w:val="en-US"/>
        </w:rPr>
        <w:t>,…</w:t>
      </w:r>
      <w:proofErr w:type="gramEnd"/>
      <w:r w:rsidRPr="00944148">
        <w:rPr>
          <w:rFonts w:eastAsia="Times New Roman"/>
          <w:color w:val="000000"/>
          <w:szCs w:val="28"/>
          <w:lang w:val="en-US"/>
        </w:rPr>
        <w:t xml:space="preserve"> Bên cạnh mặt tiêu cực của nhóm đối tượng này, thực tế cho thấy không nhữn</w:t>
      </w:r>
      <w:r w:rsidRPr="00944148">
        <w:rPr>
          <w:rFonts w:eastAsia="Times New Roman"/>
          <w:color w:val="000000"/>
          <w:spacing w:val="-2"/>
          <w:szCs w:val="28"/>
          <w:lang w:val="en-US"/>
        </w:rPr>
        <w:t>g không hạn chế mà còn tăng lên. Theo</w:t>
      </w:r>
      <w:r w:rsidRPr="00944148">
        <w:rPr>
          <w:rFonts w:eastAsia="Times New Roman"/>
          <w:color w:val="000000"/>
          <w:spacing w:val="-2"/>
          <w:szCs w:val="28"/>
        </w:rPr>
        <w:t xml:space="preserve"> báo cáo mới nhất của Bộ Tài chính thì: Hiện nay, lượng rượu, bia được tiêu thụ ở Việt Nam quá lớn, sản lượng </w:t>
      </w:r>
      <w:r w:rsidRPr="00944148">
        <w:rPr>
          <w:rFonts w:eastAsia="Times New Roman"/>
          <w:color w:val="000000"/>
          <w:spacing w:val="-4"/>
          <w:szCs w:val="28"/>
        </w:rPr>
        <w:t>bia nă</w:t>
      </w:r>
      <w:r w:rsidRPr="00944148">
        <w:rPr>
          <w:rFonts w:eastAsia="Times New Roman"/>
          <w:color w:val="000000"/>
          <w:spacing w:val="-4"/>
          <w:szCs w:val="28"/>
          <w:lang w:val="en-US"/>
        </w:rPr>
        <w:t>m</w:t>
      </w:r>
      <w:r w:rsidRPr="00944148">
        <w:rPr>
          <w:rFonts w:eastAsia="Times New Roman"/>
          <w:color w:val="000000"/>
          <w:spacing w:val="-4"/>
          <w:szCs w:val="28"/>
        </w:rPr>
        <w:t xml:space="preserve"> 2016 là 3,788 tỷ lít bia, tính bình quân lên tới 42 lít/người/năm tăng khoảng 4 lít so với năm trước – và là quán quân trong khu vực ASEAN, thứ 3 Châu á – chỉ sau Nhật Bản và Trung Quốc</w:t>
      </w:r>
      <w:r>
        <w:rPr>
          <w:rFonts w:eastAsia="Times New Roman"/>
          <w:color w:val="000000"/>
          <w:spacing w:val="-4"/>
          <w:szCs w:val="28"/>
        </w:rPr>
        <w:t>, và đứng thứ 16 trên thế giới</w:t>
      </w:r>
      <w:r w:rsidRPr="00944148">
        <w:rPr>
          <w:rFonts w:eastAsia="Times New Roman"/>
          <w:color w:val="000000"/>
          <w:spacing w:val="-4"/>
          <w:szCs w:val="28"/>
        </w:rPr>
        <w:t>.</w:t>
      </w:r>
      <w:r w:rsidRPr="00944148">
        <w:rPr>
          <w:rFonts w:eastAsia="Times New Roman"/>
          <w:color w:val="000000"/>
          <w:szCs w:val="28"/>
        </w:rPr>
        <w:t xml:space="preserve"> Có thể thấy, đây là một con số đáng báo động đối với nước ta, khác với các nước khác trên thế giới chỉ số tiêu dùng đối với mặt hàng này đang giảm thì đối với nước ta, lại phát triển theo chiều “thẳng đứng”.</w:t>
      </w:r>
    </w:p>
    <w:p w:rsidR="003512C0" w:rsidRPr="00944148" w:rsidRDefault="003512C0" w:rsidP="003512C0">
      <w:pPr>
        <w:widowControl w:val="0"/>
        <w:spacing w:after="0" w:line="360" w:lineRule="auto"/>
        <w:ind w:firstLine="720"/>
        <w:jc w:val="both"/>
        <w:rPr>
          <w:color w:val="000000"/>
          <w:szCs w:val="28"/>
          <w:lang w:val="en-US"/>
        </w:rPr>
      </w:pPr>
      <w:r w:rsidRPr="00944148">
        <w:rPr>
          <w:rFonts w:eastAsia="Times New Roman"/>
          <w:color w:val="000000"/>
          <w:szCs w:val="28"/>
          <w:lang w:val="en-US"/>
        </w:rPr>
        <w:t xml:space="preserve">Vì vậy, kiến nghị về tính phí và phụ </w:t>
      </w:r>
      <w:proofErr w:type="gramStart"/>
      <w:r w:rsidRPr="00944148">
        <w:rPr>
          <w:rFonts w:eastAsia="Times New Roman"/>
          <w:color w:val="000000"/>
          <w:szCs w:val="28"/>
          <w:lang w:val="en-US"/>
        </w:rPr>
        <w:t>thu</w:t>
      </w:r>
      <w:proofErr w:type="gramEnd"/>
      <w:r w:rsidRPr="00944148">
        <w:rPr>
          <w:rFonts w:eastAsia="Times New Roman"/>
          <w:color w:val="000000"/>
          <w:szCs w:val="28"/>
          <w:lang w:val="en-US"/>
        </w:rPr>
        <w:t xml:space="preserve"> về sức khỏe đối với đối tượng này trước khi tính thuế </w:t>
      </w:r>
      <w:r>
        <w:rPr>
          <w:rFonts w:eastAsia="Times New Roman"/>
          <w:color w:val="000000"/>
          <w:szCs w:val="28"/>
          <w:lang w:val="en-US"/>
        </w:rPr>
        <w:t xml:space="preserve">tiêu thụ đặc biệt </w:t>
      </w:r>
      <w:r w:rsidRPr="00944148">
        <w:rPr>
          <w:rFonts w:eastAsia="Times New Roman"/>
          <w:color w:val="000000"/>
          <w:szCs w:val="28"/>
          <w:lang w:val="en-US"/>
        </w:rPr>
        <w:t xml:space="preserve">là cần thiết. Việc </w:t>
      </w:r>
      <w:r w:rsidRPr="00944148">
        <w:rPr>
          <w:color w:val="000000"/>
          <w:szCs w:val="28"/>
          <w:lang w:val="en-US"/>
        </w:rPr>
        <w:t xml:space="preserve">tăng giá trị hàng hóa hóa lên cao không chỉ tác động trực tiếp đến vấn đề tài chính người tiêu dùng nhằm cải thiện nhận thức của người tiêu dùng một cách gián tiếp. Có thể xem đây như một kiểu biện pháp giáo dục không bằng lời nói từ phía Nhà nước. Bên cạnh đó, khoản tiền thuế tăng còn là cơ sở tài chính để Nhà nước khắc phục những hậu quả mà nhóm đối </w:t>
      </w:r>
      <w:r w:rsidRPr="00944148">
        <w:rPr>
          <w:color w:val="000000"/>
          <w:szCs w:val="28"/>
          <w:lang w:val="en-US"/>
        </w:rPr>
        <w:lastRenderedPageBreak/>
        <w:t>tượng này gây ra, bù đắp một phần để cải tạo môi trường, các chi phí cho công tác an toàn xã hội, chi phí y tế cộng đồng. Nhìn nhận ở khía cạnh này</w:t>
      </w:r>
      <w:r w:rsidRPr="00944148">
        <w:rPr>
          <w:color w:val="000000"/>
          <w:szCs w:val="28"/>
        </w:rPr>
        <w:t xml:space="preserve">, </w:t>
      </w:r>
      <w:r w:rsidRPr="00944148">
        <w:rPr>
          <w:color w:val="000000"/>
          <w:szCs w:val="28"/>
          <w:lang w:val="en-US"/>
        </w:rPr>
        <w:t xml:space="preserve">riêng đối với thuốc lá, </w:t>
      </w:r>
      <w:r w:rsidRPr="00944148">
        <w:rPr>
          <w:color w:val="000000"/>
          <w:szCs w:val="28"/>
        </w:rPr>
        <w:t>Bộ Tài chính ước tính số thu từ sắc thuế này sẽ đóng góp cho ngân sách năm 2016 khoảng 2.930 tỷ đồng, năm 2017</w:t>
      </w:r>
      <w:r w:rsidRPr="00944148">
        <w:rPr>
          <w:color w:val="000000"/>
          <w:szCs w:val="28"/>
          <w:lang w:val="en-US"/>
        </w:rPr>
        <w:t xml:space="preserve"> tăng lên</w:t>
      </w:r>
      <w:r w:rsidRPr="00944148">
        <w:rPr>
          <w:color w:val="000000"/>
          <w:szCs w:val="28"/>
        </w:rPr>
        <w:t xml:space="preserve"> 3.300 tỷ đồng, năm 2018</w:t>
      </w:r>
      <w:r w:rsidRPr="00944148">
        <w:rPr>
          <w:color w:val="000000"/>
          <w:szCs w:val="28"/>
          <w:lang w:val="en-US"/>
        </w:rPr>
        <w:t xml:space="preserve"> lên tới</w:t>
      </w:r>
      <w:r w:rsidRPr="00944148">
        <w:rPr>
          <w:color w:val="000000"/>
          <w:szCs w:val="28"/>
        </w:rPr>
        <w:t xml:space="preserve"> 7.700 tỷ đồng.</w:t>
      </w:r>
    </w:p>
    <w:p w:rsidR="003512C0" w:rsidRPr="00944148" w:rsidRDefault="003512C0" w:rsidP="003512C0">
      <w:pPr>
        <w:widowControl w:val="0"/>
        <w:spacing w:after="0" w:line="360" w:lineRule="auto"/>
        <w:ind w:firstLine="720"/>
        <w:jc w:val="both"/>
        <w:textAlignment w:val="baseline"/>
        <w:rPr>
          <w:rFonts w:eastAsia="Times New Roman"/>
          <w:i/>
          <w:color w:val="000000"/>
          <w:szCs w:val="28"/>
          <w:lang w:val="en-US"/>
        </w:rPr>
      </w:pPr>
      <w:r w:rsidRPr="00944148">
        <w:rPr>
          <w:rFonts w:eastAsia="Times New Roman"/>
          <w:i/>
          <w:color w:val="000000"/>
          <w:szCs w:val="28"/>
          <w:lang w:val="en-US"/>
        </w:rPr>
        <w:t xml:space="preserve">Hai là: Về thuế suất </w:t>
      </w:r>
      <w:r>
        <w:rPr>
          <w:rFonts w:eastAsia="Times New Roman"/>
          <w:i/>
          <w:color w:val="000000"/>
          <w:szCs w:val="28"/>
          <w:lang w:val="en-US"/>
        </w:rPr>
        <w:t>thuế tiêu thụ đặc biệt</w:t>
      </w:r>
      <w:r w:rsidRPr="00944148">
        <w:rPr>
          <w:rFonts w:eastAsia="Times New Roman"/>
          <w:i/>
          <w:color w:val="000000"/>
          <w:szCs w:val="28"/>
          <w:lang w:val="en-US"/>
        </w:rPr>
        <w:t xml:space="preserve"> trong xây dựng pháp luật thuế nói </w:t>
      </w:r>
      <w:proofErr w:type="gramStart"/>
      <w:r w:rsidRPr="00944148">
        <w:rPr>
          <w:rFonts w:eastAsia="Times New Roman"/>
          <w:i/>
          <w:color w:val="000000"/>
          <w:szCs w:val="28"/>
          <w:lang w:val="en-US"/>
        </w:rPr>
        <w:t>chung</w:t>
      </w:r>
      <w:proofErr w:type="gramEnd"/>
    </w:p>
    <w:p w:rsidR="003512C0" w:rsidRPr="00944148" w:rsidRDefault="003512C0" w:rsidP="003512C0">
      <w:pPr>
        <w:widowControl w:val="0"/>
        <w:spacing w:after="0" w:line="360" w:lineRule="auto"/>
        <w:ind w:firstLine="720"/>
        <w:jc w:val="both"/>
        <w:textAlignment w:val="baseline"/>
        <w:rPr>
          <w:rFonts w:eastAsia="Times New Roman"/>
          <w:color w:val="000000"/>
          <w:szCs w:val="28"/>
          <w:lang w:val="en-US"/>
        </w:rPr>
      </w:pPr>
      <w:r w:rsidRPr="00944148">
        <w:rPr>
          <w:rFonts w:eastAsia="Times New Roman"/>
          <w:color w:val="000000"/>
          <w:szCs w:val="28"/>
          <w:lang w:val="en-US"/>
        </w:rPr>
        <w:t>Cầ</w:t>
      </w:r>
      <w:r w:rsidRPr="00944148">
        <w:rPr>
          <w:rFonts w:eastAsia="Times New Roman"/>
          <w:color w:val="000000"/>
          <w:spacing w:val="2"/>
          <w:szCs w:val="28"/>
          <w:lang w:val="en-US"/>
        </w:rPr>
        <w:t>n t</w:t>
      </w:r>
      <w:r w:rsidRPr="00944148">
        <w:rPr>
          <w:rFonts w:eastAsia="Times New Roman"/>
          <w:color w:val="000000"/>
          <w:spacing w:val="2"/>
          <w:szCs w:val="28"/>
        </w:rPr>
        <w:t>iến hành tăng thuế suất đối với các mặt hàng</w:t>
      </w:r>
      <w:r w:rsidRPr="00944148">
        <w:rPr>
          <w:rFonts w:eastAsia="Times New Roman"/>
          <w:color w:val="000000"/>
          <w:spacing w:val="2"/>
          <w:szCs w:val="28"/>
          <w:lang w:val="en-US"/>
        </w:rPr>
        <w:t xml:space="preserve"> hạn chế tiêu dùng</w:t>
      </w:r>
      <w:r w:rsidRPr="00944148">
        <w:rPr>
          <w:rFonts w:eastAsia="Times New Roman"/>
          <w:color w:val="000000"/>
          <w:spacing w:val="2"/>
          <w:szCs w:val="28"/>
        </w:rPr>
        <w:t xml:space="preserve"> nhưng tăng </w:t>
      </w:r>
      <w:proofErr w:type="gramStart"/>
      <w:r w:rsidRPr="00944148">
        <w:rPr>
          <w:rFonts w:eastAsia="Times New Roman"/>
          <w:color w:val="000000"/>
          <w:spacing w:val="2"/>
          <w:szCs w:val="28"/>
        </w:rPr>
        <w:t>theo</w:t>
      </w:r>
      <w:proofErr w:type="gramEnd"/>
      <w:r w:rsidRPr="00944148">
        <w:rPr>
          <w:rFonts w:eastAsia="Times New Roman"/>
          <w:color w:val="000000"/>
          <w:spacing w:val="2"/>
          <w:szCs w:val="28"/>
        </w:rPr>
        <w:t xml:space="preserve"> lộ trình để đảm bảo tính hiệu quả và tính hiệu lực trên thực tế. Phù hợp với từng điều kiện phát triển của mỗi cá nhân có nhu cầu sử dụng và không gây quá nhiều gánh nặng về kinh tế, gây khó chịu đối với chủ thể có nghĩa vụ.</w:t>
      </w:r>
      <w:r w:rsidRPr="00944148">
        <w:rPr>
          <w:rFonts w:eastAsia="Times New Roman"/>
          <w:color w:val="000000"/>
          <w:spacing w:val="2"/>
          <w:szCs w:val="28"/>
          <w:lang w:val="en-US"/>
        </w:rPr>
        <w:t xml:space="preserve"> </w:t>
      </w:r>
      <w:r w:rsidRPr="00944148">
        <w:rPr>
          <w:color w:val="000000"/>
          <w:spacing w:val="2"/>
          <w:szCs w:val="28"/>
          <w:lang w:val="en-US"/>
        </w:rPr>
        <w:t>Theo</w:t>
      </w:r>
      <w:r w:rsidRPr="00944148">
        <w:rPr>
          <w:color w:val="000000"/>
          <w:spacing w:val="2"/>
          <w:szCs w:val="28"/>
        </w:rPr>
        <w:t xml:space="preserve"> khuyến nghị của Tổ chức Y tế Thế giới (WHO) và Ngân hàng Thế giới (WB) thì mức thuế suất </w:t>
      </w:r>
      <w:r w:rsidRPr="00944148">
        <w:rPr>
          <w:rFonts w:eastAsia="Times New Roman"/>
          <w:color w:val="000000"/>
          <w:spacing w:val="2"/>
          <w:szCs w:val="28"/>
        </w:rPr>
        <w:t xml:space="preserve">khỏe con người (thuốc lá, rượu </w:t>
      </w:r>
      <w:proofErr w:type="gramStart"/>
      <w:r w:rsidRPr="00944148">
        <w:rPr>
          <w:rFonts w:eastAsia="Times New Roman"/>
          <w:color w:val="000000"/>
          <w:spacing w:val="2"/>
          <w:szCs w:val="28"/>
        </w:rPr>
        <w:t>bia</w:t>
      </w:r>
      <w:proofErr w:type="gramEnd"/>
      <w:r w:rsidRPr="00944148">
        <w:rPr>
          <w:rFonts w:eastAsia="Times New Roman"/>
          <w:color w:val="000000"/>
          <w:spacing w:val="2"/>
          <w:szCs w:val="28"/>
        </w:rPr>
        <w:t>).</w:t>
      </w:r>
      <w:r w:rsidRPr="00944148">
        <w:rPr>
          <w:rFonts w:eastAsia="Times New Roman"/>
          <w:color w:val="000000"/>
          <w:spacing w:val="2"/>
          <w:szCs w:val="28"/>
          <w:lang w:val="en-US"/>
        </w:rPr>
        <w:t xml:space="preserve"> Phù hợp với định</w:t>
      </w:r>
      <w:r w:rsidRPr="00944148">
        <w:rPr>
          <w:rFonts w:eastAsia="Times New Roman"/>
          <w:color w:val="000000"/>
          <w:szCs w:val="28"/>
          <w:lang w:val="en-US"/>
        </w:rPr>
        <w:t xml:space="preserve"> hướng chính sách cải cách thuế, đặt trọng tâm nguồn </w:t>
      </w:r>
      <w:proofErr w:type="gramStart"/>
      <w:r w:rsidRPr="00944148">
        <w:rPr>
          <w:rFonts w:eastAsia="Times New Roman"/>
          <w:color w:val="000000"/>
          <w:szCs w:val="28"/>
          <w:lang w:val="en-US"/>
        </w:rPr>
        <w:t>thu</w:t>
      </w:r>
      <w:proofErr w:type="gramEnd"/>
      <w:r w:rsidRPr="00944148">
        <w:rPr>
          <w:rFonts w:eastAsia="Times New Roman"/>
          <w:color w:val="000000"/>
          <w:szCs w:val="28"/>
          <w:lang w:val="en-US"/>
        </w:rPr>
        <w:t xml:space="preserve"> lên thuế tiêu dùng.</w:t>
      </w:r>
    </w:p>
    <w:p w:rsidR="003512C0" w:rsidRPr="00944148" w:rsidRDefault="003512C0" w:rsidP="003512C0">
      <w:pPr>
        <w:widowControl w:val="0"/>
        <w:spacing w:after="0" w:line="360" w:lineRule="auto"/>
        <w:ind w:firstLine="720"/>
        <w:jc w:val="both"/>
        <w:rPr>
          <w:rStyle w:val="TitleChar"/>
          <w:rFonts w:eastAsia="Malgun Gothic"/>
          <w:color w:val="000000"/>
          <w:szCs w:val="28"/>
        </w:rPr>
      </w:pPr>
      <w:r w:rsidRPr="00944148">
        <w:rPr>
          <w:rFonts w:eastAsia="Times New Roman"/>
          <w:color w:val="000000"/>
          <w:szCs w:val="28"/>
          <w:lang w:val="en-US"/>
        </w:rPr>
        <w:t xml:space="preserve">Bên cạnh đó, quy định giảm thuế TTĐB theo lộ trình đối với một số hàng hóa phù hợp với lộ trình giảm thuế nhập khẩu đối với các nước ASEAN, các nước EU theo các hiệp định đa phương đã kí kết. Nhìn nhận về vấn đề này, Bộ công thương đề xuất cách đánh thuế </w:t>
      </w:r>
      <w:r>
        <w:rPr>
          <w:rFonts w:eastAsia="Times New Roman"/>
          <w:color w:val="000000"/>
          <w:szCs w:val="28"/>
          <w:lang w:val="en-US"/>
        </w:rPr>
        <w:t xml:space="preserve">tiêu thụ đặc biệt </w:t>
      </w:r>
      <w:r w:rsidRPr="00944148">
        <w:rPr>
          <w:rFonts w:eastAsia="Times New Roman"/>
          <w:color w:val="000000"/>
          <w:szCs w:val="28"/>
          <w:lang w:val="en-US"/>
        </w:rPr>
        <w:t xml:space="preserve">nhằm ưu đãi tối đa đối với </w:t>
      </w:r>
      <w:proofErr w:type="gramStart"/>
      <w:r w:rsidRPr="00944148">
        <w:rPr>
          <w:rFonts w:eastAsia="Times New Roman"/>
          <w:color w:val="000000"/>
          <w:szCs w:val="28"/>
          <w:lang w:val="en-US"/>
        </w:rPr>
        <w:t>xe</w:t>
      </w:r>
      <w:proofErr w:type="gramEnd"/>
      <w:r w:rsidRPr="00944148">
        <w:rPr>
          <w:rFonts w:eastAsia="Times New Roman"/>
          <w:color w:val="000000"/>
          <w:szCs w:val="28"/>
          <w:lang w:val="en-US"/>
        </w:rPr>
        <w:t xml:space="preserve"> được sản xuất trong nước bằng cách không đánh thuế </w:t>
      </w:r>
      <w:r>
        <w:rPr>
          <w:rFonts w:eastAsia="Times New Roman"/>
          <w:color w:val="000000"/>
          <w:szCs w:val="28"/>
          <w:lang w:val="en-US"/>
        </w:rPr>
        <w:t xml:space="preserve">tiêu thụ đặc biệt </w:t>
      </w:r>
      <w:r w:rsidRPr="00944148">
        <w:rPr>
          <w:rFonts w:eastAsia="Times New Roman"/>
          <w:color w:val="000000"/>
          <w:szCs w:val="28"/>
          <w:lang w:val="en-US"/>
        </w:rPr>
        <w:t xml:space="preserve">với phần giá trị tăng tạo ra trong nước. Tác giả đồng tình với kiến nghị này, vì thực tế như đối với </w:t>
      </w:r>
      <w:r w:rsidRPr="00944148">
        <w:rPr>
          <w:color w:val="000000"/>
          <w:szCs w:val="28"/>
        </w:rPr>
        <w:t xml:space="preserve">Ô tô, </w:t>
      </w:r>
      <w:proofErr w:type="gramStart"/>
      <w:r w:rsidRPr="00944148">
        <w:rPr>
          <w:color w:val="000000"/>
          <w:szCs w:val="28"/>
        </w:rPr>
        <w:t>xe</w:t>
      </w:r>
      <w:proofErr w:type="gramEnd"/>
      <w:r w:rsidRPr="00944148">
        <w:rPr>
          <w:color w:val="000000"/>
          <w:szCs w:val="28"/>
        </w:rPr>
        <w:t xml:space="preserve"> máy</w:t>
      </w:r>
      <w:r w:rsidRPr="00944148">
        <w:rPr>
          <w:color w:val="000000"/>
          <w:szCs w:val="28"/>
          <w:lang w:val="en-US"/>
        </w:rPr>
        <w:t xml:space="preserve"> đang có nhiều biến chuyển mới về thuế nhập khẩu. Cụ thể, theo Hiệp định thương mại tự do Việt Nam – EU viết tắt là EVFTA thì từ 1/1/2018</w:t>
      </w:r>
      <w:r w:rsidRPr="00944148">
        <w:rPr>
          <w:color w:val="000000"/>
          <w:szCs w:val="28"/>
        </w:rPr>
        <w:t>: Việt Nam cam kết đưa thuế nhập khẩu về 0% sau từ 9 tới 10 năm; riêng xe máy có dung tích xy-lanh trên 150cm</w:t>
      </w:r>
      <w:r w:rsidRPr="00944148">
        <w:rPr>
          <w:color w:val="000000"/>
          <w:szCs w:val="28"/>
          <w:vertAlign w:val="superscript"/>
        </w:rPr>
        <w:t>3</w:t>
      </w:r>
      <w:r w:rsidRPr="00944148">
        <w:rPr>
          <w:color w:val="000000"/>
          <w:szCs w:val="28"/>
        </w:rPr>
        <w:t xml:space="preserve"> có lộ trình xóa bỏ thuế nhập khẩu là 7 năm, Xe máy với động cơ trên 150cc sẽ được dỡ thuế quan sau 7 năm, trong khi thuế suất với ô tô nhập khẩu sẽ được xóa bỏ sau 10 năm, trừ loại có động cơ lớn hơn 3.000cc (với động cơ xăng) hoặc lớn hơn 2.500cc (với động cơ diesel) sẽ được dỡ thuế quan sớm hơn 1 năm. </w:t>
      </w:r>
      <w:hyperlink r:id="rId4" w:tgtFrame="_blank" w:tooltip="Linh kiện ô tô" w:history="1">
        <w:r w:rsidRPr="00944148">
          <w:rPr>
            <w:color w:val="000000"/>
            <w:szCs w:val="28"/>
          </w:rPr>
          <w:t>Linh kiện ô tô</w:t>
        </w:r>
      </w:hyperlink>
      <w:r w:rsidRPr="00944148">
        <w:rPr>
          <w:color w:val="000000"/>
          <w:szCs w:val="28"/>
        </w:rPr>
        <w:t xml:space="preserve"> được miễn thuế quan sau 7 năm</w:t>
      </w:r>
      <w:r>
        <w:rPr>
          <w:color w:val="000000"/>
          <w:szCs w:val="28"/>
          <w:lang w:val="en-US"/>
        </w:rPr>
        <w:t>.</w:t>
      </w:r>
    </w:p>
    <w:p w:rsidR="003512C0" w:rsidRPr="00944148" w:rsidRDefault="003512C0" w:rsidP="003512C0">
      <w:pPr>
        <w:widowControl w:val="0"/>
        <w:spacing w:after="0" w:line="360" w:lineRule="auto"/>
        <w:ind w:firstLine="720"/>
        <w:jc w:val="both"/>
        <w:textAlignment w:val="baseline"/>
        <w:rPr>
          <w:rFonts w:eastAsia="Times New Roman"/>
          <w:i/>
          <w:color w:val="000000"/>
          <w:szCs w:val="28"/>
          <w:lang w:val="en-US"/>
        </w:rPr>
      </w:pPr>
      <w:r w:rsidRPr="00944148">
        <w:rPr>
          <w:rFonts w:eastAsia="Times New Roman"/>
          <w:color w:val="000000"/>
          <w:spacing w:val="-2"/>
          <w:szCs w:val="28"/>
          <w:lang w:val="en-US"/>
        </w:rPr>
        <w:t xml:space="preserve">Nên cách tính thuế này có thể là điều kiện tiền đề đưa giá </w:t>
      </w:r>
      <w:proofErr w:type="gramStart"/>
      <w:r w:rsidRPr="00944148">
        <w:rPr>
          <w:rFonts w:eastAsia="Times New Roman"/>
          <w:color w:val="000000"/>
          <w:spacing w:val="-2"/>
          <w:szCs w:val="28"/>
          <w:lang w:val="en-US"/>
        </w:rPr>
        <w:t>xe</w:t>
      </w:r>
      <w:proofErr w:type="gramEnd"/>
      <w:r w:rsidRPr="00944148">
        <w:rPr>
          <w:rFonts w:eastAsia="Times New Roman"/>
          <w:color w:val="000000"/>
          <w:spacing w:val="-2"/>
          <w:szCs w:val="28"/>
          <w:lang w:val="en-US"/>
        </w:rPr>
        <w:t xml:space="preserve"> mà trước hết là xe lắp ráp về mức giá sàn mới thấp hơn, dễ tiếp cận hơn với số đông. Đặc biệt tạo lợi thế </w:t>
      </w:r>
      <w:r w:rsidRPr="00944148">
        <w:rPr>
          <w:rFonts w:eastAsia="Times New Roman"/>
          <w:color w:val="000000"/>
          <w:spacing w:val="-2"/>
          <w:szCs w:val="28"/>
          <w:lang w:val="en-US"/>
        </w:rPr>
        <w:lastRenderedPageBreak/>
        <w:t>cạnh tranh đối với “xe nội địa”, tạo cơ sở để phát triển một ngành công nghiệp ô tô thực thụ có khả năng cạnh tranh với ô tô nước ngoài. Tránh trường hợp thuế nhập khẩu giảm làm gây nên hiện tượng nhập siêu</w:t>
      </w:r>
      <w:r w:rsidRPr="00944148">
        <w:rPr>
          <w:rFonts w:eastAsia="Times New Roman"/>
          <w:i/>
          <w:color w:val="000000"/>
          <w:szCs w:val="28"/>
          <w:lang w:val="en-US"/>
        </w:rPr>
        <w:t>.</w:t>
      </w:r>
    </w:p>
    <w:p w:rsidR="003512C0" w:rsidRPr="00944148" w:rsidRDefault="003512C0" w:rsidP="003512C0">
      <w:pPr>
        <w:widowControl w:val="0"/>
        <w:spacing w:after="0" w:line="360" w:lineRule="auto"/>
        <w:ind w:firstLine="720"/>
        <w:jc w:val="both"/>
        <w:textAlignment w:val="baseline"/>
        <w:rPr>
          <w:rFonts w:eastAsia="Times New Roman"/>
          <w:color w:val="000000"/>
          <w:szCs w:val="28"/>
          <w:lang w:val="en-US"/>
        </w:rPr>
      </w:pPr>
      <w:r w:rsidRPr="00944148">
        <w:rPr>
          <w:rFonts w:eastAsia="Times New Roman"/>
          <w:i/>
          <w:color w:val="000000"/>
          <w:szCs w:val="28"/>
          <w:lang w:val="en-US"/>
        </w:rPr>
        <w:t>Ba là</w:t>
      </w:r>
      <w:r w:rsidRPr="00944148">
        <w:rPr>
          <w:rFonts w:eastAsia="Times New Roman"/>
          <w:color w:val="000000"/>
          <w:szCs w:val="28"/>
        </w:rPr>
        <w:t>: Cần có nghiên cứu bổ sung các quy định về giá tính thuế đối với những loại hàng hóa chịu thuế tiêu thụ đặc biệt do các công ty đa quốc gia tổ chức sản xuất hoặc phân công sản xuất, phân phối giữa các nước trong chuỗi sản xuất toàn cầu, nhằm đảm bảo điều tiết công bằng g</w:t>
      </w:r>
      <w:r w:rsidRPr="00944148">
        <w:rPr>
          <w:rFonts w:eastAsia="Times New Roman"/>
          <w:color w:val="000000"/>
          <w:szCs w:val="28"/>
          <w:lang w:val="en-US"/>
        </w:rPr>
        <w:t>iữa</w:t>
      </w:r>
      <w:r w:rsidRPr="00944148">
        <w:rPr>
          <w:rFonts w:eastAsia="Times New Roman"/>
          <w:color w:val="000000"/>
          <w:szCs w:val="28"/>
        </w:rPr>
        <w:t xml:space="preserve"> các hàng hóa, dịch vụ sản xuất trong nước và các hàng hóa, dịch vụ đượ</w:t>
      </w:r>
      <w:r w:rsidRPr="00944148">
        <w:rPr>
          <w:rFonts w:eastAsia="Times New Roman"/>
          <w:color w:val="000000"/>
          <w:szCs w:val="28"/>
          <w:lang w:val="en-US"/>
        </w:rPr>
        <w:t>c</w:t>
      </w:r>
      <w:r w:rsidRPr="00944148">
        <w:rPr>
          <w:rFonts w:eastAsia="Times New Roman"/>
          <w:color w:val="000000"/>
          <w:szCs w:val="28"/>
        </w:rPr>
        <w:t xml:space="preserve"> nhập khẩu.</w:t>
      </w:r>
      <w:r w:rsidRPr="00944148">
        <w:rPr>
          <w:rFonts w:eastAsia="Times New Roman"/>
          <w:color w:val="000000"/>
          <w:szCs w:val="28"/>
          <w:lang w:val="en-US"/>
        </w:rPr>
        <w:t xml:space="preserve"> Hiện nay, nhiều doanh nghiệp đa quốc gia, như Cocacola thường dựa trốn thuế bằng cách chuyển giá trong sản xuất từ công ty mẹ qua chi nhánh,...nên vấn đề về thuế, đặc biệt thuế </w:t>
      </w:r>
      <w:r>
        <w:rPr>
          <w:rFonts w:eastAsia="Times New Roman"/>
          <w:color w:val="000000"/>
          <w:szCs w:val="28"/>
          <w:lang w:val="en-US"/>
        </w:rPr>
        <w:t>tiêu thụ đặc biệt</w:t>
      </w:r>
      <w:r w:rsidRPr="00944148">
        <w:rPr>
          <w:rFonts w:eastAsia="Times New Roman"/>
          <w:color w:val="000000"/>
          <w:szCs w:val="28"/>
          <w:lang w:val="en-US"/>
        </w:rPr>
        <w:t xml:space="preserve"> chưa được quản lý chặt chẽ. Nhiều trường hợp gây khó khăn đối với chính các doanh nghiệp trong nước.</w:t>
      </w:r>
    </w:p>
    <w:bookmarkEnd w:id="0"/>
    <w:p w:rsidR="00CA1BCA" w:rsidRDefault="00CA1BCA" w:rsidP="003512C0">
      <w:pPr>
        <w:spacing w:line="360" w:lineRule="auto"/>
      </w:pPr>
    </w:p>
    <w:sectPr w:rsidR="00CA1BCA" w:rsidSect="003512C0">
      <w:pgSz w:w="11906" w:h="16838"/>
      <w:pgMar w:top="1134" w:right="1134"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C0"/>
    <w:rsid w:val="003512C0"/>
    <w:rsid w:val="00CA1BCA"/>
    <w:rsid w:val="00F033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08BB7-0CFB-4A96-8ADE-69BCEBB9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C0"/>
    <w:rPr>
      <w:rFonts w:ascii="Times New Roman" w:eastAsia="Malgun Gothic" w:hAnsi="Times New Roman" w:cs="Times New Roman"/>
      <w:sz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2C0"/>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3512C0"/>
    <w:rPr>
      <w:rFonts w:ascii="Cambria" w:eastAsia="Times New Roman" w:hAnsi="Cambria" w:cs="Times New Roman"/>
      <w:color w:val="17365D"/>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febiz.vn/linh-kien-o-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nga</dc:creator>
  <cp:keywords/>
  <dc:description/>
  <cp:lastModifiedBy>luong nga</cp:lastModifiedBy>
  <cp:revision>1</cp:revision>
  <dcterms:created xsi:type="dcterms:W3CDTF">2019-12-16T03:16:00Z</dcterms:created>
  <dcterms:modified xsi:type="dcterms:W3CDTF">2019-12-16T03:28:00Z</dcterms:modified>
</cp:coreProperties>
</file>