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58" w:rsidRDefault="005F6558" w:rsidP="005F6558">
      <w:pPr>
        <w:spacing w:before="0" w:after="0" w:line="312" w:lineRule="auto"/>
        <w:jc w:val="center"/>
        <w:rPr>
          <w:b/>
        </w:rPr>
      </w:pPr>
      <w:bookmarkStart w:id="0" w:name="_GoBack"/>
      <w:r w:rsidRPr="003C09FD">
        <w:rPr>
          <w:b/>
        </w:rPr>
        <w:t>PHƯƠNG PHÁP GIẢNG DẠY TÍCH CỰC</w:t>
      </w:r>
      <w:r>
        <w:rPr>
          <w:b/>
        </w:rPr>
        <w:t xml:space="preserve"> GÓP PHẦN</w:t>
      </w:r>
      <w:r w:rsidRPr="003C09FD">
        <w:rPr>
          <w:b/>
        </w:rPr>
        <w:t xml:space="preserve"> NÂNG CAO CHẤT LƯỢNG ĐÀO TẠO </w:t>
      </w:r>
      <w:r>
        <w:rPr>
          <w:b/>
        </w:rPr>
        <w:t>NGHỀ LUẬT</w:t>
      </w:r>
      <w:r>
        <w:rPr>
          <w:b/>
        </w:rPr>
        <w:t xml:space="preserve"> (Kỳ 1)</w:t>
      </w:r>
    </w:p>
    <w:bookmarkEnd w:id="0"/>
    <w:p w:rsidR="005F6558" w:rsidRPr="003C09FD" w:rsidRDefault="005F6558" w:rsidP="005F6558">
      <w:pPr>
        <w:spacing w:before="0" w:after="0" w:line="312" w:lineRule="auto"/>
        <w:jc w:val="center"/>
        <w:rPr>
          <w:b/>
        </w:rPr>
      </w:pPr>
    </w:p>
    <w:p w:rsidR="005F6558" w:rsidRPr="00A42E69" w:rsidRDefault="005F6558" w:rsidP="005F6558">
      <w:pPr>
        <w:spacing w:before="0" w:after="0" w:line="312" w:lineRule="auto"/>
        <w:rPr>
          <w:b/>
          <w:i/>
          <w:iCs/>
        </w:rPr>
      </w:pPr>
      <w:r w:rsidRPr="00A42E69">
        <w:rPr>
          <w:b/>
          <w:i/>
          <w:iCs/>
        </w:rPr>
        <w:t xml:space="preserve">                                                        ThS</w:t>
      </w:r>
      <w:r>
        <w:rPr>
          <w:b/>
          <w:i/>
          <w:iCs/>
        </w:rPr>
        <w:t>.</w:t>
      </w:r>
      <w:r w:rsidRPr="00A42E69">
        <w:rPr>
          <w:b/>
          <w:i/>
          <w:iCs/>
        </w:rPr>
        <w:t xml:space="preserve"> Nguyễn Thị Thu Hồng</w:t>
      </w:r>
    </w:p>
    <w:p w:rsidR="005F6558" w:rsidRDefault="005F6558" w:rsidP="005F6558">
      <w:pPr>
        <w:spacing w:before="0" w:after="0" w:line="312" w:lineRule="auto"/>
        <w:ind w:firstLine="3420"/>
        <w:jc w:val="center"/>
        <w:rPr>
          <w:b/>
          <w:i/>
        </w:rPr>
      </w:pPr>
      <w:r>
        <w:rPr>
          <w:b/>
          <w:i/>
        </w:rPr>
        <w:t>Khoa Luật, Trường Đại học Duy Tân</w:t>
      </w:r>
    </w:p>
    <w:p w:rsidR="005F6558" w:rsidRPr="003C09FD" w:rsidRDefault="005F6558" w:rsidP="005F6558">
      <w:pPr>
        <w:spacing w:before="0" w:after="0" w:line="312" w:lineRule="auto"/>
        <w:ind w:firstLine="3420"/>
        <w:jc w:val="center"/>
        <w:rPr>
          <w:b/>
          <w:i/>
        </w:rPr>
      </w:pPr>
    </w:p>
    <w:p w:rsidR="005F6558" w:rsidRPr="00A42E69" w:rsidRDefault="005F6558" w:rsidP="005F6558">
      <w:pPr>
        <w:spacing w:before="0" w:after="0" w:line="360" w:lineRule="auto"/>
        <w:rPr>
          <w:sz w:val="24"/>
          <w:szCs w:val="24"/>
        </w:rPr>
      </w:pPr>
      <w:r w:rsidRPr="00A42E69">
        <w:rPr>
          <w:b/>
          <w:bCs/>
          <w:i/>
          <w:iCs/>
          <w:sz w:val="24"/>
          <w:szCs w:val="24"/>
        </w:rPr>
        <w:t>Tóm tắt:</w:t>
      </w:r>
      <w:r>
        <w:t xml:space="preserve"> </w:t>
      </w:r>
      <w:r w:rsidRPr="00A42E69">
        <w:rPr>
          <w:sz w:val="24"/>
          <w:szCs w:val="24"/>
        </w:rPr>
        <w:t>Việc đào tạo luật hiện nay đang thay đổi nhanh chóng trên thế giới và với nhiều mô hình đào tạo khác nhau nhưng chủ yếu theo hai hướng là đào tạo hàn lâm đ</w:t>
      </w:r>
      <w:r>
        <w:rPr>
          <w:sz w:val="24"/>
          <w:szCs w:val="24"/>
        </w:rPr>
        <w:t>ể</w:t>
      </w:r>
      <w:r w:rsidRPr="00A42E69">
        <w:rPr>
          <w:sz w:val="24"/>
          <w:szCs w:val="24"/>
        </w:rPr>
        <w:t xml:space="preserve"> cấp bằng cử nhân luật và học để hành nghề luật. Bài viết dưới đây</w:t>
      </w:r>
      <w:r>
        <w:rPr>
          <w:sz w:val="24"/>
          <w:szCs w:val="24"/>
        </w:rPr>
        <w:t>,</w:t>
      </w:r>
      <w:r w:rsidRPr="00A42E69">
        <w:rPr>
          <w:sz w:val="24"/>
          <w:szCs w:val="24"/>
        </w:rPr>
        <w:t xml:space="preserve"> tác giả trao đổi về việc áp dụng phương pháp giảng dạy tích cực</w:t>
      </w:r>
      <w:r>
        <w:rPr>
          <w:sz w:val="24"/>
          <w:szCs w:val="24"/>
        </w:rPr>
        <w:t xml:space="preserve">, </w:t>
      </w:r>
      <w:r w:rsidRPr="00A42E69">
        <w:rPr>
          <w:sz w:val="24"/>
          <w:szCs w:val="24"/>
        </w:rPr>
        <w:t>đổi mới và nâng cao chất lượng đào tạo đối với ngành học quan trọng này nhằm đáp ứng được nhu cầu của xã hội trong bối cảnh toàn cầu hóa và hội nhập quốc tế.</w:t>
      </w:r>
    </w:p>
    <w:p w:rsidR="005F6558" w:rsidRPr="00A42E69" w:rsidRDefault="005F6558" w:rsidP="005F6558">
      <w:pPr>
        <w:spacing w:before="0" w:after="0" w:line="360" w:lineRule="auto"/>
        <w:rPr>
          <w:sz w:val="24"/>
          <w:szCs w:val="24"/>
        </w:rPr>
      </w:pPr>
      <w:r w:rsidRPr="00A42E69">
        <w:rPr>
          <w:b/>
          <w:bCs/>
          <w:i/>
          <w:iCs/>
          <w:sz w:val="24"/>
          <w:szCs w:val="24"/>
        </w:rPr>
        <w:t>Từ khóa</w:t>
      </w:r>
      <w:r>
        <w:t xml:space="preserve">: </w:t>
      </w:r>
      <w:r w:rsidRPr="00A42E69">
        <w:rPr>
          <w:sz w:val="24"/>
          <w:szCs w:val="24"/>
        </w:rPr>
        <w:t>giảng dạy tích cực/đào tạo nghề luật/</w:t>
      </w:r>
      <w:r>
        <w:rPr>
          <w:sz w:val="24"/>
          <w:szCs w:val="24"/>
        </w:rPr>
        <w:t>Đ</w:t>
      </w:r>
      <w:r w:rsidRPr="00A42E69">
        <w:rPr>
          <w:sz w:val="24"/>
          <w:szCs w:val="24"/>
        </w:rPr>
        <w:t xml:space="preserve">ại học Duy Tân  </w:t>
      </w:r>
    </w:p>
    <w:p w:rsidR="005F6558" w:rsidRDefault="005F6558" w:rsidP="005F6558">
      <w:pPr>
        <w:spacing w:before="0" w:after="0" w:line="360" w:lineRule="auto"/>
      </w:pPr>
    </w:p>
    <w:p w:rsidR="005F6558" w:rsidRPr="00E30E62" w:rsidRDefault="005F6558" w:rsidP="005F6558">
      <w:pPr>
        <w:spacing w:before="0" w:after="0" w:line="360" w:lineRule="auto"/>
      </w:pPr>
      <w:r w:rsidRPr="00E30E62">
        <w:t xml:space="preserve">Hiện nay ở Việt Nam có khoảng </w:t>
      </w:r>
      <w:r>
        <w:t>50</w:t>
      </w:r>
      <w:r w:rsidRPr="00E30E62">
        <w:t xml:space="preserve"> cơ sở đào tạo cử nhân luật, với số lượng khoảng trên 200.000 ngàn người học. Phần lớn những người sau khi tốt nghiệp đều hướng đến hành nghề liên quan đến hoạt động pháp luật như điều tra viên, kiểm sát viên, thẩm phán, thanh tra, quản tài viên, đấu giá viên, công chứng viên, luật sư và c</w:t>
      </w:r>
      <w:r>
        <w:t>huyên viên</w:t>
      </w:r>
      <w:r w:rsidRPr="00E30E62">
        <w:t xml:space="preserve"> pháp lý trong các doanh nghiệp, công chức, viên chức các cơ quan nhà nước, tổ chức xã hội, các hiệp hội, cơ quan truyền thông… Một tỷ trọng đáng kể cử nhân luật đang có xu hướng thành lập và điều hành các doanh nghiệp, cạnh tranh trực tiếp với cử nhân các ngành kinh tế hay quản trị kinh doanh</w:t>
      </w:r>
      <w:r w:rsidRPr="00E30E62">
        <w:rPr>
          <w:rStyle w:val="FootnoteReference"/>
        </w:rPr>
        <w:footnoteReference w:id="1"/>
      </w:r>
      <w:r w:rsidRPr="00E30E62">
        <w:t>. Điều này cho thấy, việc đào tạo luật ngày nay cần trang bị cho người học kiến thức và kỹ năng đủ để cạnh tranh linh hoạt trong thị trường việc làm ngày càng đa dạng. Để đạt được mục tiêu này, trước hết cần đổi mới phương pháp giảng dạy trong đào tạo cử nhân luật.</w:t>
      </w:r>
    </w:p>
    <w:p w:rsidR="005F6558" w:rsidRDefault="005F6558" w:rsidP="005F6558">
      <w:pPr>
        <w:spacing w:before="0" w:after="0" w:line="360" w:lineRule="auto"/>
      </w:pPr>
      <w:r w:rsidRPr="00E30E62">
        <w:t xml:space="preserve">Bài viết này chúng tôi không bàn về chương trình và nội dung giảng dạy ngành luật mà dưới góc nhìn của một giảng viên của Khoa Luật, </w:t>
      </w:r>
      <w:r>
        <w:t xml:space="preserve">Trường </w:t>
      </w:r>
      <w:r w:rsidRPr="00E30E62">
        <w:t xml:space="preserve">Đại học Duy Tân, </w:t>
      </w:r>
      <w:r w:rsidRPr="00E30E62">
        <w:lastRenderedPageBreak/>
        <w:t xml:space="preserve">trực tiếp làm công tác giảng dạy, chúng tôi tham gia trao đổi một số suy nghĩ về đổi mới phương pháp giảng dạy, với mong muốn góp phần </w:t>
      </w:r>
      <w:r>
        <w:t>v</w:t>
      </w:r>
      <w:r w:rsidRPr="00E30E62">
        <w:t xml:space="preserve">ào </w:t>
      </w:r>
      <w:r>
        <w:t xml:space="preserve">việc </w:t>
      </w:r>
      <w:r w:rsidRPr="00E30E62">
        <w:t xml:space="preserve">nâng cao chất lượng đào tạo của </w:t>
      </w:r>
      <w:r>
        <w:t>T</w:t>
      </w:r>
      <w:r w:rsidRPr="00E30E62">
        <w:t>rường Đại học Duy Tân nói riêng và đào tạo cử nhân luật nói chung.</w:t>
      </w:r>
    </w:p>
    <w:p w:rsidR="005F6558" w:rsidRPr="00E30E62" w:rsidRDefault="005F6558" w:rsidP="005F6558">
      <w:pPr>
        <w:spacing w:before="0" w:after="0" w:line="360" w:lineRule="auto"/>
      </w:pPr>
      <w:r>
        <w:t>Chúng ta đều biết, trong các phương pháp giảng dạy tương tác thì mỗi phương pháp đều thể hiện những ưu điểm và nhược điểm riêng của mình, song dựa trên những phương pháp được sử dụng nhiều nhất thì kết quả nghiên cứu thể hiện tỷ lệ phần trăm khả năng tiếp thu kiến thức tương ứng với các hoạt động học tập của người học. Cụ thể là phương pháp thuyết trình (tức là phương pháp giảng dạy truyền thống) thì người học chỉ tiếp thu được 5% kiến thức, tiếp theo là phương pháp đọc giúp người học nhớ được 10% kiến thức, phương pháp xem trình diễn tình huống thực tế giúp người học nhớ được 30%. Nếu người học thảo luận trong nhóm nhỏ họ sẽ nhớ được 50%. Nếu họ được hướng dẫn bằng các minh họa và sau đó được yêu cầu thực hành, sẽ nhớ được 75%. Và nếu sinh viên trực tiếp tư vấn hoặc giảng dạy cho người khác, họ sẽ nhớ đến 90% kiến thức.</w:t>
      </w:r>
    </w:p>
    <w:p w:rsidR="005F6558" w:rsidRPr="00351523" w:rsidRDefault="005F6558" w:rsidP="005F6558">
      <w:pPr>
        <w:spacing w:line="360" w:lineRule="auto"/>
        <w:ind w:firstLine="567"/>
        <w:rPr>
          <w:lang w:val="vi-VN"/>
        </w:rPr>
      </w:pPr>
      <w:r>
        <w:rPr>
          <w:lang w:val="vi-VN"/>
        </w:rPr>
        <w:t xml:space="preserve">Đối với đặc thù của sinh viên ngành Luật thì phương pháp dạy học theo tình huống là phương pháp tối ưu. </w:t>
      </w:r>
      <w:r w:rsidRPr="00351523">
        <w:rPr>
          <w:lang w:val="vi-VN"/>
        </w:rPr>
        <w:t>Sau khi đã được cung cấp các kiến thức lý thuyết, một bài tập tình huống sẽ giúp sinh viên có cái nhìn sâu hơn và thực tiễn hơn về vấn đề lý thuyết đã được học. Thông qua việc xử lý tình huống, sinh viên sẽ có điều kiện để vận dụng linh hoạt các kiến thức lý thuyết</w:t>
      </w:r>
      <w:r>
        <w:rPr>
          <w:lang w:val="vi-VN"/>
        </w:rPr>
        <w:t>.</w:t>
      </w:r>
    </w:p>
    <w:p w:rsidR="005F6558" w:rsidRDefault="005F6558" w:rsidP="005F6558">
      <w:pPr>
        <w:spacing w:line="360" w:lineRule="auto"/>
        <w:ind w:firstLine="567"/>
        <w:rPr>
          <w:lang w:val="vi-VN"/>
        </w:rPr>
      </w:pPr>
      <w:r>
        <w:rPr>
          <w:lang w:val="vi-VN"/>
        </w:rPr>
        <w:t xml:space="preserve">Phương pháp dạy học bằng tình huống </w:t>
      </w:r>
      <w:r w:rsidRPr="00351523">
        <w:rPr>
          <w:lang w:val="vi-VN"/>
        </w:rPr>
        <w:t>tạo ra những cơ hội giúp sinh viên có được những kinh nghiệm thực tế, trau dồi và phát triển được các kỹ năng thực hành cần thiết khi ra trường</w:t>
      </w:r>
      <w:r>
        <w:rPr>
          <w:lang w:val="vi-VN"/>
        </w:rPr>
        <w:t xml:space="preserve">. </w:t>
      </w:r>
      <w:r w:rsidRPr="00351523">
        <w:rPr>
          <w:lang w:val="vi-VN"/>
        </w:rPr>
        <w:t>Đặc biệt, việc áp dụng lý thuyết vào thực tế, kỹ năng liên kết kiến thức của các môn học khác nhau để giải quyết các vấn đề và ra quyết định</w:t>
      </w:r>
      <w:r>
        <w:rPr>
          <w:lang w:val="vi-VN"/>
        </w:rPr>
        <w:t>.</w:t>
      </w:r>
    </w:p>
    <w:p w:rsidR="005F6558" w:rsidRDefault="005F6558" w:rsidP="005F6558">
      <w:pPr>
        <w:spacing w:line="360" w:lineRule="auto"/>
        <w:ind w:firstLine="567"/>
        <w:rPr>
          <w:lang w:val="vi-VN"/>
        </w:rPr>
      </w:pPr>
      <w:r w:rsidRPr="00351523">
        <w:rPr>
          <w:lang w:val="vi-VN"/>
        </w:rPr>
        <w:t xml:space="preserve">Nếu tình huống được xây dựng có chất lượng và giảng viên có kỹ năng tốt trong việc giảng dạy bằng phương pháp tình huống </w:t>
      </w:r>
      <w:r>
        <w:rPr>
          <w:lang w:val="vi-VN"/>
        </w:rPr>
        <w:t xml:space="preserve">sẽ giúp sinh viên </w:t>
      </w:r>
      <w:r w:rsidRPr="00351523">
        <w:rPr>
          <w:lang w:val="vi-VN"/>
        </w:rPr>
        <w:t xml:space="preserve">say mê tìm tòi và giải </w:t>
      </w:r>
      <w:r w:rsidRPr="00351523">
        <w:rPr>
          <w:lang w:val="vi-VN"/>
        </w:rPr>
        <w:lastRenderedPageBreak/>
        <w:t>đáp những thắc mắc được xây dựng dựa trên những câu hỏi được giảng viên đặt ra trong tình huống.</w:t>
      </w:r>
      <w:r>
        <w:rPr>
          <w:lang w:val="vi-VN"/>
        </w:rPr>
        <w:t>.</w:t>
      </w:r>
    </w:p>
    <w:p w:rsidR="005F6558" w:rsidRPr="003E791D" w:rsidRDefault="005F6558" w:rsidP="005F6558">
      <w:pPr>
        <w:spacing w:line="360" w:lineRule="auto"/>
        <w:ind w:firstLine="567"/>
        <w:rPr>
          <w:lang w:val="vi-VN"/>
        </w:rPr>
      </w:pPr>
      <w:r>
        <w:rPr>
          <w:lang w:val="vi-VN"/>
        </w:rPr>
        <w:t xml:space="preserve"> </w:t>
      </w:r>
      <w:r>
        <w:t>G</w:t>
      </w:r>
      <w:r>
        <w:rPr>
          <w:lang w:val="vi-VN"/>
        </w:rPr>
        <w:t>iúp sinh viên phát huy khả năng tư duy, sáng tạo của mình để đưa ra những hướng giải quyết phù hợp. N</w:t>
      </w:r>
      <w:r w:rsidRPr="003E791D">
        <w:rPr>
          <w:lang w:val="vi-VN"/>
        </w:rPr>
        <w:t>âng cao kỹ năng làm việc nhóm, kỹ năng phân tích, giải quyết vấn đề, kỹ năng trình bày, bảo vệ và phản biện ý kiến trước đám đông.</w:t>
      </w:r>
    </w:p>
    <w:p w:rsidR="005F6558" w:rsidRDefault="005F6558" w:rsidP="005F6558">
      <w:pPr>
        <w:spacing w:line="360" w:lineRule="auto"/>
        <w:ind w:firstLine="567"/>
      </w:pPr>
      <w:r>
        <w:rPr>
          <w:lang w:val="vi-VN"/>
        </w:rPr>
        <w:t xml:space="preserve"> Giúp sinh viên </w:t>
      </w:r>
      <w:r w:rsidRPr="00351523">
        <w:rPr>
          <w:lang w:val="vi-VN"/>
        </w:rPr>
        <w:t>có thể tiếp thu nội dung kiến thức bài giảng dễ dàng, sâu và nhớ lâu hơn các phương pháp giảng dạy truyền thố</w:t>
      </w:r>
      <w:r>
        <w:rPr>
          <w:lang w:val="vi-VN"/>
        </w:rPr>
        <w:t xml:space="preserve">ng. </w:t>
      </w:r>
      <w:r w:rsidRPr="003E791D">
        <w:rPr>
          <w:lang w:val="vi-VN"/>
        </w:rPr>
        <w:t>Đây chính là lúc các lý thuyết rời rạc của một môn học được nối lại thành bức tranh tổng thể</w:t>
      </w:r>
      <w:r>
        <w:rPr>
          <w:lang w:val="vi-VN"/>
        </w:rPr>
        <w:t>.</w:t>
      </w:r>
    </w:p>
    <w:p w:rsidR="005F6558" w:rsidRDefault="005F6558" w:rsidP="005F6558">
      <w:pPr>
        <w:spacing w:line="360" w:lineRule="auto"/>
        <w:ind w:firstLine="567"/>
      </w:pPr>
      <w:r>
        <w:rPr>
          <w:lang w:val="vi-VN"/>
        </w:rPr>
        <w:t>Đây là phương pháp phổ biến được áp dụng cho sinh viên ngành Luật và đem lại những tín hiệu tích cực. Hiện nay có rất nhiều sinh viên Luật ra trường và tìm được nhiều công việc tốt ở các doanh nghiệp, các ngân hàng, văn phòng Luật sư. Vì đã được học trên lớp nên các bạn không còn bỡ ngỡ khi được được giao giải quyết các tình huống thực tế, kĩ năng giải quyết tình huống của các bạn được đánh giá rất cao...vì thế, đây là phương pháp nên áp dụng trong mỗi lớp học.</w:t>
      </w:r>
    </w:p>
    <w:p w:rsidR="005F6558" w:rsidRDefault="005F6558" w:rsidP="005F6558">
      <w:pPr>
        <w:spacing w:line="360" w:lineRule="auto"/>
        <w:ind w:firstLine="567"/>
      </w:pPr>
      <w:r>
        <w:t>Một phương pháp dạy học luật nữa được áp dụng đó là phương pháp tư duy phản biện (tranh luận). Phương pháp này giúp cho sinh viên rèn tư duy lô gic, nhanh nhạy khi giải quyết tình huống, đặc biệt là khả năng tranh biện của sinh viên. Phương pháp này cũng được lấy làm thể lệ cho các cuộc thi tranh biện của các trường đào tạo luật hiện nay.</w:t>
      </w:r>
    </w:p>
    <w:p w:rsidR="005F6558" w:rsidRDefault="005F6558" w:rsidP="005F6558">
      <w:pPr>
        <w:spacing w:line="360" w:lineRule="auto"/>
        <w:ind w:firstLine="567"/>
      </w:pPr>
      <w:r>
        <w:t xml:space="preserve">Phương pháp này được áp dụng trong việc giảng dạy các môn luật chuyên ngành, được áp dụng cho các vấn đề về pháp luật mà còn nhiều ý kiến và quan điểm khác nhau như vấn đề về hôn nhân đồng giới, vấn đề mại dâm, hình phạt tử hình, hợp thức hóa hình thức đánh bạc...Lưu ý rằng giảng viên phải thông báo cho sinh viên trước khi bắt đầu buổi tranh luận để họ có thể chuẩn bị tâm lý và lắng nghe quan điểm của người khác. Điều quan trọng là giảng viên đóng vai trò là trọng tài, </w:t>
      </w:r>
      <w:r>
        <w:lastRenderedPageBreak/>
        <w:t>điều khiển cuộc ttranh luận phải tạo cho sinh viên một không khí thoải mái và cởi mở để sinh viên có thể thẳng thắn tranh luận và đưa ra quan điểm của mình.</w:t>
      </w:r>
    </w:p>
    <w:p w:rsidR="005F6558" w:rsidRDefault="005F6558" w:rsidP="005F6558">
      <w:pPr>
        <w:spacing w:line="360" w:lineRule="auto"/>
        <w:ind w:firstLine="567"/>
      </w:pPr>
      <w:r>
        <w:t xml:space="preserve">Việc giảng dạy cho sinh viên theo phương pháp này giúp sinh viên rèn kỹ năng tư duy và phản biện. Sau khi ra trường, sinh viên làm việc trong các cơ quan tư pháp (tòa án, viện kiểm sát) hoặc luật sư sẽ dễ dàng tiếp cận và phát triển kỹ năng tranh tụng tại các phiên tòa, đưa ra luận cứ chứng minh hoặc bảo vệ cho các quan điểm của mình. </w:t>
      </w:r>
    </w:p>
    <w:p w:rsidR="005F6558" w:rsidRDefault="005F6558" w:rsidP="005F6558">
      <w:pPr>
        <w:spacing w:line="360" w:lineRule="auto"/>
        <w:ind w:firstLine="567"/>
      </w:pPr>
      <w:r>
        <w:t>Sinh viên có thể được chia thành hai nhóm, hay những nhóm nhỏ để chuẩn bị sẵn sàng các ý kiến tranh luận cho bên của họ. Cả nhóm sẽ giúp những người được lựa chọn đứng ra thay mặt nhóm tranh luận. Sau đó, cuộc tranh luận bắt đầu và sinh viên biểu quyết ủng hộ hay chống đối đề tài.</w:t>
      </w:r>
    </w:p>
    <w:p w:rsidR="005F6558" w:rsidRDefault="005F6558" w:rsidP="005F6558">
      <w:pPr>
        <w:spacing w:line="360" w:lineRule="auto"/>
        <w:ind w:firstLine="567"/>
      </w:pPr>
      <w:r>
        <w:t>Giảng viên nên theo những bước sau đây khi tiến hành hoạt động tranh luận:</w:t>
      </w:r>
    </w:p>
    <w:p w:rsidR="005F6558" w:rsidRDefault="005F6558" w:rsidP="005F6558">
      <w:pPr>
        <w:spacing w:line="360" w:lineRule="auto"/>
      </w:pPr>
      <w:r>
        <w:t>- Bước 1: Đưa đề tài tranh luận cho các nhóm và chọn những nhóm tranh luận ủng hộ và chống đối.</w:t>
      </w:r>
    </w:p>
    <w:p w:rsidR="005F6558" w:rsidRDefault="005F6558" w:rsidP="005F6558">
      <w:pPr>
        <w:spacing w:line="360" w:lineRule="auto"/>
      </w:pPr>
      <w:r>
        <w:t>- Bước 2: Sinh viên tập hợp theo nhóm và chuẩn bị ý kiến tranh luận và chọn hai người trình bày ý kiến tranh luận của nhóm. Một người sẽ trình bày chính để đưa ra các ý kiến tranh luận của nhóm, người còn lại sẽ phản biện các ý kiến tranh luận của nhóm còn lại.</w:t>
      </w:r>
    </w:p>
    <w:p w:rsidR="005F6558" w:rsidRDefault="005F6558" w:rsidP="005F6558">
      <w:pPr>
        <w:spacing w:line="360" w:lineRule="auto"/>
      </w:pPr>
      <w:r>
        <w:t>- Bước 3: Giảng viên cho phép người trình bày chính của nhóm ủng hộ trình bày trước các ý kiến tranh luận trong khoảng thời gian giới hạn (thong thường là 5 phút).</w:t>
      </w:r>
    </w:p>
    <w:p w:rsidR="005F6558" w:rsidRDefault="005F6558" w:rsidP="005F6558">
      <w:pPr>
        <w:spacing w:line="360" w:lineRule="auto"/>
      </w:pPr>
      <w:r>
        <w:t>Bước 4. Giảng viên cho phép người trình bày chính của nhóm chống đối trình bày trước các ý kiến tranh luận trong khoảng thời gian giới hạn thỏa thuận trước (thong thường là 5 phút)</w:t>
      </w:r>
    </w:p>
    <w:p w:rsidR="005F6558" w:rsidRDefault="005F6558" w:rsidP="005F6558">
      <w:pPr>
        <w:spacing w:line="360" w:lineRule="auto"/>
      </w:pPr>
      <w:r>
        <w:lastRenderedPageBreak/>
        <w:t>- Bước 6: Yêu cầu tất cả sinh viên biểu quyết chọn tranh luận của bên nào là hay nhất và chọn bên chiến thắng cho cuộc tranh luận.</w:t>
      </w:r>
    </w:p>
    <w:p w:rsidR="005F6558" w:rsidRDefault="005F6558" w:rsidP="005F6558">
      <w:pPr>
        <w:spacing w:line="360" w:lineRule="auto"/>
      </w:pPr>
      <w:r>
        <w:t>- Bước 7: Giảng viên tổng kết, nhận xét đánh giá và đưa ra kết luận, cho điểm.</w:t>
      </w:r>
    </w:p>
    <w:p w:rsidR="005F6558" w:rsidRDefault="005F6558" w:rsidP="005F6558">
      <w:pPr>
        <w:spacing w:line="360" w:lineRule="auto"/>
      </w:pPr>
      <w:r>
        <w:t>Một cách tổ chức khác của phương pháp tranh luận đó là chia sinh viên làm các nhóm nhỏ gồm 3 thành viên. Việc tranh luận được tiến hành 3 lượt lần lượt 2 thành viên đầu của 2 nhóm trình bày quan điểm của nhóm mình về việc ủng hộ hay phản đối. Lượt thứ 2 do 2 thành viên tiếp theo đưa ra luận cứ để bác bỏ quan điểm của đối phương. Trong lượt tranh luận này, các bên có quyền đặt câu hỏi cho đội còn lại và đội được đặt câu hỏi có thể bỏ qua nhưng ít nhất phải trả lời được 1 câu hỏi của nhóm đối phương. Lượt thứ ba thì 2 thành viên còn lại sẽ chốt lại vấn đề, bảo vệ quan điểm của nhóm mình mà không tranh luận thêm. Các thành viên được trình bày trong một khoảng thời gian được ấn định. Nếu vi phạm về thời gian sẽ bị trừ điểm.</w:t>
      </w:r>
    </w:p>
    <w:p w:rsidR="00341CEA" w:rsidRDefault="00341CEA"/>
    <w:sectPr w:rsidR="00341CE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58" w:rsidRDefault="005F6558" w:rsidP="005F6558">
      <w:pPr>
        <w:spacing w:before="0" w:after="0"/>
      </w:pPr>
      <w:r>
        <w:separator/>
      </w:r>
    </w:p>
  </w:endnote>
  <w:endnote w:type="continuationSeparator" w:id="0">
    <w:p w:rsidR="005F6558" w:rsidRDefault="005F6558" w:rsidP="005F65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086554"/>
      <w:docPartObj>
        <w:docPartGallery w:val="Page Numbers (Bottom of Page)"/>
        <w:docPartUnique/>
      </w:docPartObj>
    </w:sdtPr>
    <w:sdtEndPr>
      <w:rPr>
        <w:noProof/>
      </w:rPr>
    </w:sdtEndPr>
    <w:sdtContent>
      <w:p w:rsidR="005F6558" w:rsidRDefault="005F655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F6558" w:rsidRDefault="005F6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58" w:rsidRDefault="005F6558" w:rsidP="005F6558">
      <w:pPr>
        <w:spacing w:before="0" w:after="0"/>
      </w:pPr>
      <w:r>
        <w:separator/>
      </w:r>
    </w:p>
  </w:footnote>
  <w:footnote w:type="continuationSeparator" w:id="0">
    <w:p w:rsidR="005F6558" w:rsidRDefault="005F6558" w:rsidP="005F6558">
      <w:pPr>
        <w:spacing w:before="0" w:after="0"/>
      </w:pPr>
      <w:r>
        <w:continuationSeparator/>
      </w:r>
    </w:p>
  </w:footnote>
  <w:footnote w:id="1">
    <w:p w:rsidR="005F6558" w:rsidRDefault="005F6558" w:rsidP="005F6558">
      <w:pPr>
        <w:pStyle w:val="FootnoteText"/>
      </w:pPr>
      <w:r>
        <w:rPr>
          <w:rStyle w:val="FootnoteReference"/>
        </w:rPr>
        <w:footnoteRef/>
      </w:r>
      <w:r>
        <w:t xml:space="preserve"> Phạm Duy Nghĩa (2014), Phương pháp nghiên cứu luật học, Nxb Công an nhân dân, Hà Nội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58"/>
    <w:rsid w:val="00341CEA"/>
    <w:rsid w:val="005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3F23D-E706-4B34-B153-D6C18A6E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558"/>
    <w:pPr>
      <w:spacing w:before="120" w:after="120" w:line="240" w:lineRule="auto"/>
      <w:ind w:firstLine="720"/>
      <w:jc w:val="both"/>
    </w:pPr>
    <w:rPr>
      <w:rFonts w:eastAsia="Calibri"/>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Footnote,Footnote text,Ref,de nota al pie,Footnote text + 13 pt,callout,Texto de nota al pie,Appel note de bas de page,Footnotes refss,Footnote number,referencia nota al pie,BVI fnr,4_G,16 Point,Superscript 6 Point"/>
    <w:uiPriority w:val="99"/>
    <w:unhideWhenUsed/>
    <w:rsid w:val="005F6558"/>
    <w:rPr>
      <w:vertAlign w:val="superscript"/>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ootnote text,fn,Ch,A,ft"/>
    <w:basedOn w:val="Normal"/>
    <w:link w:val="FootnoteTextChar"/>
    <w:uiPriority w:val="99"/>
    <w:unhideWhenUsed/>
    <w:rsid w:val="005F6558"/>
    <w:rPr>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5F6558"/>
    <w:rPr>
      <w:rFonts w:eastAsia="Calibri"/>
      <w:kern w:val="28"/>
      <w:sz w:val="20"/>
      <w:szCs w:val="20"/>
    </w:rPr>
  </w:style>
  <w:style w:type="paragraph" w:styleId="Header">
    <w:name w:val="header"/>
    <w:basedOn w:val="Normal"/>
    <w:link w:val="HeaderChar"/>
    <w:uiPriority w:val="99"/>
    <w:unhideWhenUsed/>
    <w:rsid w:val="005F6558"/>
    <w:pPr>
      <w:tabs>
        <w:tab w:val="center" w:pos="4680"/>
        <w:tab w:val="right" w:pos="9360"/>
      </w:tabs>
      <w:spacing w:before="0" w:after="0"/>
    </w:pPr>
  </w:style>
  <w:style w:type="character" w:customStyle="1" w:styleId="HeaderChar">
    <w:name w:val="Header Char"/>
    <w:basedOn w:val="DefaultParagraphFont"/>
    <w:link w:val="Header"/>
    <w:uiPriority w:val="99"/>
    <w:rsid w:val="005F6558"/>
    <w:rPr>
      <w:rFonts w:eastAsia="Calibri"/>
      <w:kern w:val="28"/>
      <w:sz w:val="28"/>
      <w:szCs w:val="28"/>
    </w:rPr>
  </w:style>
  <w:style w:type="paragraph" w:styleId="Footer">
    <w:name w:val="footer"/>
    <w:basedOn w:val="Normal"/>
    <w:link w:val="FooterChar"/>
    <w:uiPriority w:val="99"/>
    <w:unhideWhenUsed/>
    <w:rsid w:val="005F6558"/>
    <w:pPr>
      <w:tabs>
        <w:tab w:val="center" w:pos="4680"/>
        <w:tab w:val="right" w:pos="9360"/>
      </w:tabs>
      <w:spacing w:before="0" w:after="0"/>
    </w:pPr>
  </w:style>
  <w:style w:type="character" w:customStyle="1" w:styleId="FooterChar">
    <w:name w:val="Footer Char"/>
    <w:basedOn w:val="DefaultParagraphFont"/>
    <w:link w:val="Footer"/>
    <w:uiPriority w:val="99"/>
    <w:rsid w:val="005F6558"/>
    <w:rPr>
      <w:rFonts w:eastAsia="Calibri"/>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6839</Characters>
  <Application>Microsoft Office Word</Application>
  <DocSecurity>0</DocSecurity>
  <Lines>56</Lines>
  <Paragraphs>16</Paragraphs>
  <ScaleCrop>false</ScaleCrop>
  <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2019-10-06T16:41:00Z</dcterms:created>
  <dcterms:modified xsi:type="dcterms:W3CDTF">2019-10-06T16:43:00Z</dcterms:modified>
</cp:coreProperties>
</file>