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37D" w:rsidRPr="001C22B3" w:rsidRDefault="00DF737D" w:rsidP="00DF737D">
      <w:pPr>
        <w:pStyle w:val="Heading1"/>
        <w:shd w:val="clear" w:color="auto" w:fill="FFFFFF"/>
        <w:spacing w:before="0" w:line="360" w:lineRule="auto"/>
        <w:jc w:val="center"/>
        <w:rPr>
          <w:rFonts w:ascii="Times New Roman" w:hAnsi="Times New Roman" w:cs="Times New Roman"/>
          <w:bCs w:val="0"/>
          <w:color w:val="auto"/>
        </w:rPr>
      </w:pPr>
      <w:r w:rsidRPr="001C22B3">
        <w:rPr>
          <w:rFonts w:ascii="Times New Roman" w:hAnsi="Times New Roman" w:cs="Times New Roman"/>
          <w:bCs w:val="0"/>
          <w:color w:val="auto"/>
        </w:rPr>
        <w:t>ĐỔI MỚI TỔ CHỨC PHIÊN TÒA THEO TINH THẦN CẢI CÁCH TƯ PHÁP GÓP PHẦN NÂNG CAO TRÁCH NHIỆM GIẢI TRÌNH TƯ PHÁP TRONG TỐ TỤNG HÌNH SỰ</w:t>
      </w:r>
      <w:r>
        <w:rPr>
          <w:rFonts w:ascii="Times New Roman" w:hAnsi="Times New Roman" w:cs="Times New Roman"/>
          <w:bCs w:val="0"/>
          <w:color w:val="auto"/>
        </w:rPr>
        <w:t xml:space="preserve"> (Kỳ</w:t>
      </w:r>
      <w:r>
        <w:rPr>
          <w:rFonts w:ascii="Times New Roman" w:hAnsi="Times New Roman" w:cs="Times New Roman"/>
          <w:bCs w:val="0"/>
          <w:color w:val="auto"/>
        </w:rPr>
        <w:t xml:space="preserve"> 4</w:t>
      </w:r>
      <w:r>
        <w:rPr>
          <w:rFonts w:ascii="Times New Roman" w:hAnsi="Times New Roman" w:cs="Times New Roman"/>
          <w:bCs w:val="0"/>
          <w:color w:val="auto"/>
        </w:rPr>
        <w:t>)</w:t>
      </w:r>
    </w:p>
    <w:p w:rsidR="00DF737D" w:rsidRPr="00CD02AA" w:rsidRDefault="00DF737D" w:rsidP="00DF737D">
      <w:pPr>
        <w:shd w:val="clear" w:color="auto" w:fill="FFFFFF"/>
        <w:spacing w:line="360" w:lineRule="auto"/>
        <w:jc w:val="right"/>
        <w:rPr>
          <w:b/>
          <w:i/>
          <w:sz w:val="28"/>
          <w:szCs w:val="28"/>
        </w:rPr>
      </w:pPr>
      <w:r w:rsidRPr="00CD02AA">
        <w:rPr>
          <w:b/>
          <w:i/>
          <w:sz w:val="28"/>
          <w:szCs w:val="28"/>
        </w:rPr>
        <w:t xml:space="preserve">                      ThS. Nguyễn Thị Thu Hồng  -  Khoa Luật, Đại học Duy Tân</w:t>
      </w:r>
    </w:p>
    <w:p w:rsidR="00DF737D" w:rsidRDefault="00DF737D" w:rsidP="00DF737D">
      <w:pPr>
        <w:pStyle w:val="NormalWeb"/>
        <w:shd w:val="clear" w:color="auto" w:fill="FFFFFF"/>
        <w:spacing w:before="0" w:beforeAutospacing="0" w:after="0" w:afterAutospacing="0" w:line="360" w:lineRule="auto"/>
        <w:ind w:firstLine="720"/>
        <w:jc w:val="both"/>
        <w:rPr>
          <w:rFonts w:ascii="Times New Roman" w:hAnsi="Times New Roman"/>
          <w:sz w:val="28"/>
          <w:szCs w:val="28"/>
        </w:rPr>
      </w:pPr>
    </w:p>
    <w:p w:rsidR="00DF737D" w:rsidRPr="001C22B3" w:rsidRDefault="00DF737D" w:rsidP="00DF737D">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Thông tư 02/2017/TT-TANDTC ngày 28/7/2017 của Chánh án TANDTC ban hành quy chế tổ chức phiên tòa trong đó đáng chú ý là có qui định Tòa án ghi âm, ghi hình, ghi hình có âm thanh về diễn biến phiên tòa được thực hiện theo quy định của pháp luật tố tụng. Trong vụ xét xử vụ án đánh bạc qua mạng internet, TAND tỉnh Phú Thọ đã chuẩn bị chu đáo, bố trí phòng xử án trang trọng, an toàn và theo đúng mô hình chuẩn mà TAND Tối cao đã đề ra như bố trí các vị trí của Hội đồng xét xử, Thư ký, Công tố, luật sư; chỗ ngồi của bị cáo, người dự phiên tòa; vị trí các bàn khai báo của bị cáo, bàn trả lời của nhân chứng, giám định viên, điều tra viên; vị trí trưng bày vật chứng; phòng cách ly; phòng tác nghiệp báo chí…. Điều này đã góp phần bảo đảm chất lượng phiên tòa được các cơ quan, tổ chức, các đối tượng trong vụ án cũng như những người có liên quan đều hoan nghênh, đánh giá cao.</w:t>
      </w:r>
    </w:p>
    <w:p w:rsidR="00DF737D" w:rsidRPr="001C22B3" w:rsidRDefault="00DF737D" w:rsidP="00DF737D">
      <w:pPr>
        <w:pStyle w:val="text-right"/>
        <w:shd w:val="clear" w:color="auto" w:fill="FFFFFF"/>
        <w:spacing w:before="0" w:beforeAutospacing="0" w:after="0" w:afterAutospacing="0" w:line="360" w:lineRule="auto"/>
        <w:ind w:firstLine="720"/>
        <w:jc w:val="both"/>
        <w:rPr>
          <w:sz w:val="28"/>
          <w:szCs w:val="28"/>
        </w:rPr>
      </w:pPr>
      <w:r w:rsidRPr="001C22B3">
        <w:rPr>
          <w:sz w:val="28"/>
          <w:szCs w:val="28"/>
          <w:shd w:val="clear" w:color="auto" w:fill="FFFFFF"/>
        </w:rPr>
        <w:t xml:space="preserve"> </w:t>
      </w:r>
      <w:r w:rsidRPr="001C22B3">
        <w:rPr>
          <w:rStyle w:val="Strong"/>
          <w:sz w:val="28"/>
          <w:szCs w:val="28"/>
        </w:rPr>
        <w:t>Thời gian qua,</w:t>
      </w:r>
      <w:r w:rsidRPr="001C22B3">
        <w:rPr>
          <w:sz w:val="28"/>
          <w:szCs w:val="28"/>
        </w:rPr>
        <w:t xml:space="preserve"> các tòa án trên cả nước đã xử lý nhiều vụ án lớn, nghiêm minh, đúng pháp luật dù nhiều bị cáo là người từng giữ chức vụ cao. Phiên tòa thể hiện được tinh thần cốt lõi của cải cách tư pháp. Diễn biến phiên tòa cho thấy tính dân chủ, công khai; bị cáo, người liên quan, người làm chứng được phát biểu, trình bày; được cung cấp, giao nộp chứng cứ cho tòa; Chủ tọa thể hiện được bản lĩnh trong điều khiển phiên tòa, đi đúng trọng tâm, tạo điều kiện và mở rộng không gian tranh tụng để các bên cọ sát chứng cứ, lý luận và thực tiễn, sau đó là giải quyết triệt để các tài liệu và chứng cứ phát sinh bằng quyết định trả hồ sơ điều tra bổ sung.</w:t>
      </w:r>
    </w:p>
    <w:p w:rsidR="00DF737D" w:rsidRPr="001C22B3" w:rsidRDefault="00DF737D" w:rsidP="00DF737D">
      <w:pPr>
        <w:pStyle w:val="text-right"/>
        <w:shd w:val="clear" w:color="auto" w:fill="FFFFFF"/>
        <w:spacing w:before="0" w:beforeAutospacing="0" w:after="0" w:afterAutospacing="0" w:line="360" w:lineRule="auto"/>
        <w:ind w:firstLine="720"/>
        <w:jc w:val="both"/>
        <w:rPr>
          <w:sz w:val="28"/>
          <w:szCs w:val="28"/>
        </w:rPr>
      </w:pPr>
      <w:r w:rsidRPr="001C22B3">
        <w:rPr>
          <w:sz w:val="28"/>
          <w:szCs w:val="28"/>
        </w:rPr>
        <w:t xml:space="preserve">Dấu ấn cải cách tư phá trong các phiên tòa xét xử các vụ án lớn vừa qua đã giúp người dân tin hơn vào hoạt động của Tòa án, các cơ quan bảo vệ pháp luật, tin </w:t>
      </w:r>
      <w:r w:rsidRPr="001C22B3">
        <w:rPr>
          <w:sz w:val="28"/>
          <w:szCs w:val="28"/>
        </w:rPr>
        <w:lastRenderedPageBreak/>
        <w:t xml:space="preserve">vào công lý, lẽ phải. Đó cũng là góp phần nâng cao tính trách nhiệm giải trình trong hoạt động tố tụng. </w:t>
      </w:r>
    </w:p>
    <w:p w:rsidR="00DF737D" w:rsidRPr="001C22B3" w:rsidRDefault="00DF737D" w:rsidP="00DF737D">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Bên cạnh những kết quả đạt được, trong những năm qua, công tác giải quyết, xét xử các vụ án hình sự vẫn còn những tồn tại, hạn chế không chỉ ảnh hưởng đến chất lượng của phiên toàn mà còn hạn chế đến trách nhiệm giải trình trong tố tụng hình sự như tính khách quan, minh bạch, chính xác, sự kiểm tra, giám sát của các cơ quan có thẩm quyền và dư luận xã hội như: tình trạng vi phạm thời hạn chuẩn bị xét xử, thời hạn hoãn phiên tòa; vẫn còn những trường hợp áp dụng hình phạt tù, nhưng cho bị cáo hưởng án treo không đúng quy định của pháp luật; nhiều trường hợp tạm đình chỉ giải quyết vụ án thiếu căn cứ pháp luật, vi phạm thời hạn chuẩn bị xét xử. Vẫn còn để xảy ra các vi phạm pháp luật tố tụng, hoặc áp dụng pháp luật không đúng. Tại một số phiên tòa, việc xét hỏi chưa thực sự theo định hướng cải cách tư pháp, thậm chí có lúc đại diện Viện Kiểm sát và thẩm phán xét hỏi thiên về buộc tội, không chú ý đặt các câu hỏi gỡ tội cho bị cáo.</w:t>
      </w:r>
    </w:p>
    <w:p w:rsidR="00DF737D" w:rsidRPr="001C22B3" w:rsidRDefault="00DF737D" w:rsidP="00DF737D">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Để bảo đảm chất lượng các phiên tòa theo tinh thần cải cách tư pháp góp phần nâng cao trách nhiệm giải trình tư pháp trong tố tụng hình sự trong thời gian tới, chúng tôi cho rằng ngành Tòa án cần tiếp tục thực hiện tốt một số nội dung cơ bản sau đây:</w:t>
      </w:r>
    </w:p>
    <w:p w:rsidR="00DF737D" w:rsidRPr="001C22B3" w:rsidRDefault="00DF737D" w:rsidP="00DF737D">
      <w:pPr>
        <w:pStyle w:val="text-right"/>
        <w:shd w:val="clear" w:color="auto" w:fill="FFFFFF"/>
        <w:spacing w:before="0" w:beforeAutospacing="0" w:after="0" w:afterAutospacing="0" w:line="360" w:lineRule="auto"/>
        <w:ind w:firstLine="720"/>
        <w:jc w:val="both"/>
        <w:rPr>
          <w:sz w:val="28"/>
          <w:szCs w:val="28"/>
        </w:rPr>
      </w:pPr>
      <w:r w:rsidRPr="001C22B3">
        <w:rPr>
          <w:i/>
          <w:sz w:val="28"/>
          <w:szCs w:val="28"/>
        </w:rPr>
        <w:t xml:space="preserve"> - Một là,</w:t>
      </w:r>
      <w:r w:rsidRPr="001C22B3">
        <w:rPr>
          <w:sz w:val="28"/>
          <w:szCs w:val="28"/>
        </w:rPr>
        <w:t xml:space="preserve"> tăng cường công tác bảo đảm áp dụng thống nhất pháp luật. Tiếp tục triển khai thực hiện theo đúng các quy định mới về tổ chức phiên tòa của các đạo luật về tố tụng, bảo đảm đáp ứng yêu cầu về cải cách tư pháp. Cùng với đó, xây dựng các tiêu chí, yêu cầu cụ thể của phiên tòa theo tinh thần này. Tòa án nhân dân Tối cao chỉ đạo các Thẩm phán thực hiện đúng theo yêu cầu của việc tổ chức phiên tòa theo tinh thần cải cách tư pháp; nâng cao chất lượng bản án, quyết định của Tòa án; công khai bản án, quyết định của Tòa án trên Cổng thông tin điện tử Tòa án nhân dân.  </w:t>
      </w:r>
    </w:p>
    <w:p w:rsidR="00DF737D" w:rsidRPr="001C22B3" w:rsidRDefault="00DF737D" w:rsidP="00DF737D">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i/>
          <w:sz w:val="28"/>
          <w:szCs w:val="28"/>
        </w:rPr>
        <w:lastRenderedPageBreak/>
        <w:t xml:space="preserve"> - Hai là,</w:t>
      </w:r>
      <w:r w:rsidRPr="001C22B3">
        <w:rPr>
          <w:rFonts w:ascii="Times New Roman" w:hAnsi="Times New Roman"/>
          <w:sz w:val="28"/>
          <w:szCs w:val="28"/>
        </w:rPr>
        <w:t xml:space="preserve"> tổ chức các phiên tòa rút kinh nghiệm, </w:t>
      </w:r>
      <w:r w:rsidRPr="001C22B3">
        <w:rPr>
          <w:rFonts w:ascii="Times New Roman" w:hAnsi="Times New Roman"/>
          <w:sz w:val="28"/>
          <w:szCs w:val="28"/>
          <w:shd w:val="clear" w:color="auto" w:fill="FFFFFF"/>
        </w:rPr>
        <w:t>từ đó các thẩm phán sẽ được học hỏi để nâng cao kỹ năng xử lý tình huống và điều hành phiên tòa, trình độ áp dụng pháp luật trong giải quyết, xét xử các loại vụ án. N</w:t>
      </w:r>
      <w:r w:rsidRPr="001C22B3">
        <w:rPr>
          <w:rFonts w:ascii="Times New Roman" w:hAnsi="Times New Roman"/>
          <w:sz w:val="28"/>
          <w:szCs w:val="28"/>
        </w:rPr>
        <w:t>âng cao chất lượng đội ngũ Thẩm phán, Thẩm tra viên và Thư ký Tòa án; thường xuyên tổ chức tổng kết, trao đổi, rút kinh nghiệm về việc tổ chức phiên tòa, nhất là kỹ năng điều hành tranh tụng…. Cần chú trọng đào tạo, bồi dưỡng, nâng cao bản lĩnh nghề nghiệp của đội ngũ Thẩm phán, bảo đảm thực hiện đầy đủ thẩm quyền tố tụng của mình trong việc yêu cầu điều tra bổ sung; thực hiện nguyên tắc suy đoán vô tội; khởi tố vụ án tại phiên tòa; kiến nghị để khắc phục các sai sót của các cơ quan tiến hành tố tụng trong quá trình giải quyết vụ án hay kiến nghị với các cơ quan quản lý nhà nước khắc phục những hạn chế, thiếu sót là nguyên nhân, điều kiện phát sinh tội phạm.</w:t>
      </w:r>
    </w:p>
    <w:p w:rsidR="00DF737D" w:rsidRPr="001C22B3" w:rsidRDefault="00DF737D" w:rsidP="00DF737D">
      <w:pPr>
        <w:pStyle w:val="text-right"/>
        <w:shd w:val="clear" w:color="auto" w:fill="FFFFFF"/>
        <w:spacing w:before="0" w:beforeAutospacing="0" w:after="0" w:afterAutospacing="0" w:line="360" w:lineRule="auto"/>
        <w:ind w:firstLine="720"/>
        <w:jc w:val="both"/>
        <w:rPr>
          <w:sz w:val="28"/>
          <w:szCs w:val="28"/>
          <w:shd w:val="clear" w:color="auto" w:fill="FFFFFF"/>
        </w:rPr>
      </w:pPr>
      <w:r w:rsidRPr="001C22B3">
        <w:rPr>
          <w:i/>
          <w:sz w:val="28"/>
          <w:szCs w:val="28"/>
          <w:shd w:val="clear" w:color="auto" w:fill="FFFFFF"/>
        </w:rPr>
        <w:t>- Ba là</w:t>
      </w:r>
      <w:r w:rsidRPr="001C22B3">
        <w:rPr>
          <w:sz w:val="28"/>
          <w:szCs w:val="28"/>
          <w:shd w:val="clear" w:color="auto" w:fill="FFFFFF"/>
        </w:rPr>
        <w:t xml:space="preserve">, đặc biệt chú trọng </w:t>
      </w:r>
      <w:r w:rsidRPr="001C22B3">
        <w:rPr>
          <w:sz w:val="28"/>
          <w:szCs w:val="28"/>
        </w:rPr>
        <w:t>hoạt động tranh tụng liên quan đến vụ án. Việc “tranh tụng” không chỉ ở tại phiên tòa mà cần diễn ra ở tất cả các khâu trong quá trình khởi tố, điều tra, truy tố, xét xử đối với vụ án hình sự để không bỏ lọt tội phạm cũng như làm oan người vô tội, đảm bảo mọi công dân đều bình đẳng trước pháp luật, đảm bảo quyền, lợi ích chính đáng của những người tham gia tố tụng.</w:t>
      </w:r>
    </w:p>
    <w:p w:rsidR="00DF737D" w:rsidRPr="001C22B3" w:rsidRDefault="00DF737D" w:rsidP="00DF737D">
      <w:pPr>
        <w:pStyle w:val="text-right"/>
        <w:shd w:val="clear" w:color="auto" w:fill="FFFFFF"/>
        <w:spacing w:before="0" w:beforeAutospacing="0" w:after="0" w:afterAutospacing="0" w:line="360" w:lineRule="auto"/>
        <w:ind w:firstLine="720"/>
        <w:jc w:val="both"/>
        <w:rPr>
          <w:sz w:val="28"/>
          <w:szCs w:val="28"/>
        </w:rPr>
      </w:pPr>
      <w:r w:rsidRPr="001C22B3">
        <w:rPr>
          <w:i/>
          <w:sz w:val="28"/>
          <w:szCs w:val="28"/>
        </w:rPr>
        <w:t>- Bốn là,</w:t>
      </w:r>
      <w:r w:rsidRPr="001C22B3">
        <w:rPr>
          <w:sz w:val="28"/>
          <w:szCs w:val="28"/>
        </w:rPr>
        <w:t xml:space="preserve"> TAND các cấp phối hợp chặt chẽ với các cơ quan tiến hành tố tụng và các cơ quan có liên quan trong quá trình giải quyết các loại vụ án; tăng cường công tác kiểm tra, thanh tra các hoạt động liên quan đến tổ chức các phiên tòa từ khâu chuẩn bị, về thời hạn xét xử, phân công Thẩm phán đến các thủ tục trước khi mở phiên tòa; tăng cường công tác kiểm tra, giám đốc việc xét xử… Tăng cường trách nhiệm của người đứng đầu; đổi mới thủ tục hành chính tư pháp tại Tòa án; đảm bảo cơ sở vật chất, trang thiết bị phương tiện làm việc cho các Tòa án; tăng cường ứng dụng công nghệ thông tin trong hoạt động của Tòa án. </w:t>
      </w:r>
    </w:p>
    <w:p w:rsidR="00DF737D" w:rsidRPr="001C22B3" w:rsidRDefault="00DF737D" w:rsidP="00DF737D">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Những nội dung trên đề cập đến việc đổi mới phiên tòa nhằm nâng cao trách nhiệm giải trình tư pháp trong tố tụng hình sự theo tinh thần cải cách tư pháp, xin được trao đổi tại cuộc tọa đàm khoa học này./.</w:t>
      </w:r>
    </w:p>
    <w:p w:rsidR="00DF737D" w:rsidRPr="001C22B3" w:rsidRDefault="00DF737D" w:rsidP="00DF737D">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noProof/>
          <w:sz w:val="28"/>
          <w:szCs w:val="28"/>
        </w:rPr>
        <w:lastRenderedPageBreak/>
        <mc:AlternateContent>
          <mc:Choice Requires="wps">
            <w:drawing>
              <wp:anchor distT="0" distB="0" distL="114300" distR="114300" simplePos="0" relativeHeight="251659264" behindDoc="0" locked="0" layoutInCell="1" allowOverlap="1" wp14:anchorId="014558B2" wp14:editId="5C6853A5">
                <wp:simplePos x="0" y="0"/>
                <wp:positionH relativeFrom="column">
                  <wp:posOffset>171449</wp:posOffset>
                </wp:positionH>
                <wp:positionV relativeFrom="paragraph">
                  <wp:posOffset>93345</wp:posOffset>
                </wp:positionV>
                <wp:extent cx="16478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647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98F91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7.35pt" to="143.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" strokecolor="#5b9bd5 [3204]" strokeweight=".5pt">
                <v:stroke joinstyle="miter"/>
              </v:line>
            </w:pict>
          </mc:Fallback>
        </mc:AlternateContent>
      </w:r>
    </w:p>
    <w:p w:rsidR="00DF737D" w:rsidRPr="001C22B3" w:rsidRDefault="00DF737D" w:rsidP="00DF737D">
      <w:pPr>
        <w:pStyle w:val="NormalWeb"/>
        <w:shd w:val="clear" w:color="auto" w:fill="FFFFFF"/>
        <w:spacing w:before="0" w:beforeAutospacing="0" w:after="0" w:afterAutospacing="0" w:line="360" w:lineRule="auto"/>
        <w:ind w:left="329"/>
        <w:jc w:val="center"/>
        <w:rPr>
          <w:rFonts w:ascii="Times New Roman" w:hAnsi="Times New Roman"/>
          <w:b/>
          <w:sz w:val="28"/>
          <w:szCs w:val="28"/>
        </w:rPr>
      </w:pPr>
      <w:r w:rsidRPr="001C22B3">
        <w:rPr>
          <w:rFonts w:ascii="Times New Roman" w:hAnsi="Times New Roman"/>
          <w:b/>
          <w:sz w:val="28"/>
          <w:szCs w:val="28"/>
        </w:rPr>
        <w:t>Tài liệu tham khảo</w:t>
      </w:r>
    </w:p>
    <w:p w:rsidR="00DF737D" w:rsidRPr="001C22B3" w:rsidRDefault="00DF737D" w:rsidP="00DF737D">
      <w:pPr>
        <w:pStyle w:val="NormalWeb"/>
        <w:numPr>
          <w:ilvl w:val="0"/>
          <w:numId w:val="1"/>
        </w:numPr>
        <w:shd w:val="clear" w:color="auto" w:fill="FFFFFF"/>
        <w:spacing w:before="0" w:beforeAutospacing="0" w:after="0" w:afterAutospacing="0" w:line="360" w:lineRule="auto"/>
        <w:jc w:val="both"/>
        <w:rPr>
          <w:rFonts w:ascii="Times New Roman" w:hAnsi="Times New Roman"/>
          <w:sz w:val="28"/>
          <w:szCs w:val="28"/>
        </w:rPr>
      </w:pPr>
      <w:r w:rsidRPr="001C22B3">
        <w:rPr>
          <w:rFonts w:ascii="Times New Roman" w:hAnsi="Times New Roman"/>
          <w:sz w:val="28"/>
          <w:szCs w:val="28"/>
        </w:rPr>
        <w:t>Nghị quyết số 49- NQ/TƯ, ngày 25/02/2005 của Bộ Chính trị về Chiến lược cải cách tư pháp;</w:t>
      </w:r>
    </w:p>
    <w:p w:rsidR="00DF737D" w:rsidRPr="001C22B3" w:rsidRDefault="00DF737D" w:rsidP="00DF737D">
      <w:pPr>
        <w:pStyle w:val="NormalWeb"/>
        <w:numPr>
          <w:ilvl w:val="0"/>
          <w:numId w:val="1"/>
        </w:numPr>
        <w:shd w:val="clear" w:color="auto" w:fill="FFFFFF"/>
        <w:spacing w:before="0" w:beforeAutospacing="0" w:after="0" w:afterAutospacing="0" w:line="360" w:lineRule="auto"/>
        <w:jc w:val="both"/>
        <w:rPr>
          <w:rFonts w:ascii="Times New Roman" w:hAnsi="Times New Roman"/>
          <w:sz w:val="28"/>
          <w:szCs w:val="28"/>
        </w:rPr>
      </w:pPr>
      <w:r w:rsidRPr="001C22B3">
        <w:rPr>
          <w:rFonts w:ascii="Times New Roman" w:hAnsi="Times New Roman"/>
          <w:sz w:val="28"/>
          <w:szCs w:val="28"/>
        </w:rPr>
        <w:t>Bộ luật Tố tụng hình sự năm 2015;</w:t>
      </w:r>
    </w:p>
    <w:p w:rsidR="00DF737D" w:rsidRPr="001C22B3" w:rsidRDefault="00DF737D" w:rsidP="00DF737D">
      <w:pPr>
        <w:pStyle w:val="NormalWeb"/>
        <w:numPr>
          <w:ilvl w:val="0"/>
          <w:numId w:val="1"/>
        </w:numPr>
        <w:shd w:val="clear" w:color="auto" w:fill="FFFFFF"/>
        <w:spacing w:before="0" w:beforeAutospacing="0" w:after="0" w:afterAutospacing="0" w:line="360" w:lineRule="auto"/>
        <w:jc w:val="both"/>
        <w:rPr>
          <w:rFonts w:ascii="Times New Roman" w:hAnsi="Times New Roman"/>
          <w:sz w:val="28"/>
          <w:szCs w:val="28"/>
        </w:rPr>
      </w:pPr>
      <w:r w:rsidRPr="001C22B3">
        <w:rPr>
          <w:rFonts w:ascii="Times New Roman" w:hAnsi="Times New Roman"/>
          <w:sz w:val="28"/>
          <w:szCs w:val="28"/>
        </w:rPr>
        <w:t>Tạp chí Tòa án nhân dân, số 10/2017;</w:t>
      </w:r>
    </w:p>
    <w:p w:rsidR="00DF737D" w:rsidRPr="001C22B3" w:rsidRDefault="00DF737D" w:rsidP="00DF737D">
      <w:pPr>
        <w:pStyle w:val="NormalWeb"/>
        <w:numPr>
          <w:ilvl w:val="0"/>
          <w:numId w:val="1"/>
        </w:numPr>
        <w:shd w:val="clear" w:color="auto" w:fill="FFFFFF"/>
        <w:spacing w:before="0" w:beforeAutospacing="0" w:after="0" w:afterAutospacing="0" w:line="360" w:lineRule="auto"/>
        <w:jc w:val="both"/>
        <w:rPr>
          <w:rFonts w:ascii="Times New Roman" w:hAnsi="Times New Roman"/>
          <w:sz w:val="28"/>
          <w:szCs w:val="28"/>
        </w:rPr>
      </w:pPr>
      <w:r w:rsidRPr="001C22B3">
        <w:rPr>
          <w:rFonts w:ascii="Times New Roman" w:hAnsi="Times New Roman"/>
          <w:sz w:val="28"/>
          <w:szCs w:val="28"/>
        </w:rPr>
        <w:t>Báo Công lý, tháng 12/2018.</w:t>
      </w:r>
    </w:p>
    <w:p w:rsidR="00341CEA" w:rsidRDefault="00341CEA"/>
    <w:sectPr w:rsidR="00341C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23A" w:rsidRDefault="006B523A" w:rsidP="00DF737D">
      <w:pPr>
        <w:spacing w:after="0" w:line="240" w:lineRule="auto"/>
      </w:pPr>
      <w:r>
        <w:separator/>
      </w:r>
    </w:p>
  </w:endnote>
  <w:endnote w:type="continuationSeparator" w:id="0">
    <w:p w:rsidR="006B523A" w:rsidRDefault="006B523A" w:rsidP="00DF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37D" w:rsidRDefault="00DF7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10817"/>
      <w:docPartObj>
        <w:docPartGallery w:val="Page Numbers (Bottom of Page)"/>
        <w:docPartUnique/>
      </w:docPartObj>
    </w:sdtPr>
    <w:sdtEndPr>
      <w:rPr>
        <w:noProof/>
      </w:rPr>
    </w:sdtEndPr>
    <w:sdtContent>
      <w:bookmarkStart w:id="0" w:name="_GoBack" w:displacedByCustomXml="prev"/>
      <w:bookmarkEnd w:id="0" w:displacedByCustomXml="prev"/>
      <w:p w:rsidR="00DF737D" w:rsidRDefault="00DF737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DF737D" w:rsidRDefault="00DF73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37D" w:rsidRDefault="00DF7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23A" w:rsidRDefault="006B523A" w:rsidP="00DF737D">
      <w:pPr>
        <w:spacing w:after="0" w:line="240" w:lineRule="auto"/>
      </w:pPr>
      <w:r>
        <w:separator/>
      </w:r>
    </w:p>
  </w:footnote>
  <w:footnote w:type="continuationSeparator" w:id="0">
    <w:p w:rsidR="006B523A" w:rsidRDefault="006B523A" w:rsidP="00DF7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37D" w:rsidRDefault="00DF7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37D" w:rsidRDefault="00DF73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37D" w:rsidRDefault="00DF7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96357"/>
    <w:multiLevelType w:val="hybridMultilevel"/>
    <w:tmpl w:val="6E80A24C"/>
    <w:lvl w:ilvl="0" w:tplc="B136092E">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7D"/>
    <w:rsid w:val="00341CEA"/>
    <w:rsid w:val="006B523A"/>
    <w:rsid w:val="00D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89E33EC-C30C-47B3-BF01-14B6563E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paragraph" w:styleId="Heading1">
    <w:name w:val="heading 1"/>
    <w:basedOn w:val="Normal"/>
    <w:next w:val="Normal"/>
    <w:link w:val="Heading1Char"/>
    <w:qFormat/>
    <w:rsid w:val="00DF737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37D"/>
    <w:pPr>
      <w:spacing w:before="100" w:beforeAutospacing="1" w:after="100" w:afterAutospacing="1" w:line="240" w:lineRule="auto"/>
    </w:pPr>
    <w:rPr>
      <w:rFonts w:ascii="Times" w:eastAsiaTheme="minorEastAsia" w:hAnsi="Times"/>
      <w:sz w:val="20"/>
      <w:szCs w:val="20"/>
      <w:lang w:val="en-US"/>
    </w:rPr>
  </w:style>
  <w:style w:type="character" w:styleId="Strong">
    <w:name w:val="Strong"/>
    <w:basedOn w:val="DefaultParagraphFont"/>
    <w:uiPriority w:val="22"/>
    <w:qFormat/>
    <w:rsid w:val="00DF737D"/>
    <w:rPr>
      <w:b/>
      <w:bCs/>
    </w:rPr>
  </w:style>
  <w:style w:type="paragraph" w:customStyle="1" w:styleId="text-right">
    <w:name w:val="text-right"/>
    <w:basedOn w:val="Normal"/>
    <w:rsid w:val="00DF737D"/>
    <w:pPr>
      <w:spacing w:before="100" w:beforeAutospacing="1" w:after="100" w:afterAutospacing="1" w:line="240" w:lineRule="auto"/>
    </w:pPr>
    <w:rPr>
      <w:rFonts w:eastAsia="Times New Roman"/>
      <w:sz w:val="24"/>
      <w:szCs w:val="24"/>
      <w:lang w:val="en-US"/>
    </w:rPr>
  </w:style>
  <w:style w:type="character" w:customStyle="1" w:styleId="Heading1Char">
    <w:name w:val="Heading 1 Char"/>
    <w:basedOn w:val="DefaultParagraphFont"/>
    <w:link w:val="Heading1"/>
    <w:rsid w:val="00DF737D"/>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DF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37D"/>
    <w:rPr>
      <w:lang w:val="vi-VN"/>
    </w:rPr>
  </w:style>
  <w:style w:type="paragraph" w:styleId="Footer">
    <w:name w:val="footer"/>
    <w:basedOn w:val="Normal"/>
    <w:link w:val="FooterChar"/>
    <w:uiPriority w:val="99"/>
    <w:unhideWhenUsed/>
    <w:rsid w:val="00DF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37D"/>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2019-06-12T16:19:00Z</dcterms:created>
  <dcterms:modified xsi:type="dcterms:W3CDTF">2019-06-12T16:34:00Z</dcterms:modified>
</cp:coreProperties>
</file>