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10" w:rsidRDefault="007C1110" w:rsidP="007C1110">
      <w:pPr>
        <w:tabs>
          <w:tab w:val="left" w:pos="868"/>
          <w:tab w:val="left" w:pos="1120"/>
          <w:tab w:val="left" w:pos="1302"/>
        </w:tabs>
        <w:spacing w:after="0" w:line="360" w:lineRule="auto"/>
        <w:jc w:val="center"/>
        <w:rPr>
          <w:rFonts w:eastAsia="Times New Roman" w:cs="Times New Roman"/>
          <w:b/>
          <w:sz w:val="44"/>
          <w:szCs w:val="28"/>
        </w:rPr>
      </w:pPr>
      <w:proofErr w:type="spellStart"/>
      <w:r>
        <w:rPr>
          <w:rFonts w:eastAsia="Times New Roman" w:cs="Times New Roman"/>
          <w:b/>
          <w:sz w:val="44"/>
          <w:szCs w:val="28"/>
        </w:rPr>
        <w:t>P</w:t>
      </w:r>
      <w:r w:rsidRPr="008D2256">
        <w:rPr>
          <w:rFonts w:eastAsia="Times New Roman" w:cs="Times New Roman"/>
          <w:b/>
          <w:sz w:val="44"/>
          <w:szCs w:val="28"/>
        </w:rPr>
        <w:t>hân</w:t>
      </w:r>
      <w:proofErr w:type="spellEnd"/>
      <w:r w:rsidRPr="008D2256">
        <w:rPr>
          <w:rFonts w:eastAsia="Times New Roman" w:cs="Times New Roman"/>
          <w:b/>
          <w:sz w:val="44"/>
          <w:szCs w:val="28"/>
        </w:rPr>
        <w:t xml:space="preserve"> </w:t>
      </w:r>
      <w:proofErr w:type="spellStart"/>
      <w:r w:rsidRPr="008D2256">
        <w:rPr>
          <w:rFonts w:eastAsia="Times New Roman" w:cs="Times New Roman"/>
          <w:b/>
          <w:sz w:val="44"/>
          <w:szCs w:val="28"/>
        </w:rPr>
        <w:t>định</w:t>
      </w:r>
      <w:proofErr w:type="spellEnd"/>
      <w:r w:rsidRPr="008D2256">
        <w:rPr>
          <w:rFonts w:eastAsia="Times New Roman" w:cs="Times New Roman"/>
          <w:b/>
          <w:sz w:val="44"/>
          <w:szCs w:val="28"/>
        </w:rPr>
        <w:t xml:space="preserve"> </w:t>
      </w:r>
      <w:proofErr w:type="spellStart"/>
      <w:r w:rsidRPr="008D2256">
        <w:rPr>
          <w:rFonts w:eastAsia="Times New Roman" w:cs="Times New Roman"/>
          <w:b/>
          <w:sz w:val="44"/>
          <w:szCs w:val="28"/>
        </w:rPr>
        <w:t>thẩm</w:t>
      </w:r>
      <w:proofErr w:type="spellEnd"/>
      <w:r w:rsidRPr="008D2256">
        <w:rPr>
          <w:rFonts w:eastAsia="Times New Roman" w:cs="Times New Roman"/>
          <w:b/>
          <w:sz w:val="44"/>
          <w:szCs w:val="28"/>
        </w:rPr>
        <w:t xml:space="preserve"> </w:t>
      </w:r>
      <w:proofErr w:type="spellStart"/>
      <w:r w:rsidRPr="008D2256">
        <w:rPr>
          <w:rFonts w:eastAsia="Times New Roman" w:cs="Times New Roman"/>
          <w:b/>
          <w:sz w:val="44"/>
          <w:szCs w:val="28"/>
        </w:rPr>
        <w:t>quyền</w:t>
      </w:r>
      <w:proofErr w:type="spellEnd"/>
      <w:r w:rsidRPr="008D2256">
        <w:rPr>
          <w:rFonts w:eastAsia="Times New Roman" w:cs="Times New Roman"/>
          <w:b/>
          <w:sz w:val="44"/>
          <w:szCs w:val="28"/>
        </w:rPr>
        <w:t xml:space="preserve"> </w:t>
      </w:r>
      <w:proofErr w:type="spellStart"/>
      <w:r w:rsidRPr="008D2256">
        <w:rPr>
          <w:rFonts w:eastAsia="Times New Roman" w:cs="Times New Roman"/>
          <w:b/>
          <w:sz w:val="44"/>
          <w:szCs w:val="28"/>
        </w:rPr>
        <w:t>giữa</w:t>
      </w:r>
      <w:proofErr w:type="spellEnd"/>
      <w:r w:rsidRPr="008D2256">
        <w:rPr>
          <w:rFonts w:eastAsia="Times New Roman" w:cs="Times New Roman"/>
          <w:b/>
          <w:sz w:val="44"/>
          <w:szCs w:val="28"/>
        </w:rPr>
        <w:t xml:space="preserve"> </w:t>
      </w:r>
      <w:proofErr w:type="spellStart"/>
      <w:r w:rsidRPr="008D2256">
        <w:rPr>
          <w:rFonts w:eastAsia="Times New Roman" w:cs="Times New Roman"/>
          <w:b/>
          <w:sz w:val="44"/>
          <w:szCs w:val="28"/>
        </w:rPr>
        <w:t>c</w:t>
      </w:r>
      <w:r>
        <w:rPr>
          <w:rFonts w:eastAsia="Times New Roman" w:cs="Times New Roman"/>
          <w:b/>
          <w:sz w:val="44"/>
          <w:szCs w:val="28"/>
        </w:rPr>
        <w:t>ác</w:t>
      </w:r>
      <w:proofErr w:type="spellEnd"/>
      <w:r>
        <w:rPr>
          <w:rFonts w:eastAsia="Times New Roman" w:cs="Times New Roman"/>
          <w:b/>
          <w:sz w:val="44"/>
          <w:szCs w:val="28"/>
        </w:rPr>
        <w:t xml:space="preserve"> </w:t>
      </w:r>
      <w:r w:rsidRPr="00DF75C9">
        <w:rPr>
          <w:rFonts w:eastAsia="Times New Roman" w:cs="Times New Roman"/>
          <w:b/>
          <w:sz w:val="44"/>
          <w:szCs w:val="28"/>
          <w:lang w:val="vi-VN"/>
        </w:rPr>
        <w:t xml:space="preserve">cơ quan nhà nước ở trung ương và địa phương </w:t>
      </w:r>
    </w:p>
    <w:p w:rsidR="007C1110" w:rsidRDefault="007C1110" w:rsidP="007C1110">
      <w:pPr>
        <w:tabs>
          <w:tab w:val="left" w:pos="868"/>
          <w:tab w:val="left" w:pos="1120"/>
          <w:tab w:val="left" w:pos="1302"/>
        </w:tabs>
        <w:spacing w:after="0" w:line="360" w:lineRule="auto"/>
        <w:jc w:val="center"/>
        <w:rPr>
          <w:rFonts w:eastAsia="Times New Roman" w:cs="Times New Roman"/>
          <w:b/>
          <w:sz w:val="44"/>
          <w:szCs w:val="28"/>
          <w:lang w:val="vi-VN"/>
        </w:rPr>
      </w:pPr>
      <w:r w:rsidRPr="00DF75C9">
        <w:rPr>
          <w:rFonts w:eastAsia="Times New Roman" w:cs="Times New Roman"/>
          <w:b/>
          <w:sz w:val="44"/>
          <w:szCs w:val="28"/>
          <w:lang w:val="vi-VN"/>
        </w:rPr>
        <w:t>tại Việt Nam hiện nay</w:t>
      </w:r>
    </w:p>
    <w:p w:rsidR="009E7D6B" w:rsidRDefault="007C1110" w:rsidP="007C1110">
      <w:pPr>
        <w:jc w:val="right"/>
        <w:rPr>
          <w:b/>
        </w:rPr>
      </w:pPr>
      <w:proofErr w:type="spellStart"/>
      <w:r w:rsidRPr="00865417">
        <w:rPr>
          <w:b/>
        </w:rPr>
        <w:t>Hoàng</w:t>
      </w:r>
      <w:proofErr w:type="spellEnd"/>
      <w:r w:rsidRPr="00865417">
        <w:rPr>
          <w:b/>
        </w:rPr>
        <w:t xml:space="preserve"> </w:t>
      </w:r>
      <w:proofErr w:type="spellStart"/>
      <w:r w:rsidRPr="00865417">
        <w:rPr>
          <w:b/>
        </w:rPr>
        <w:t>Thị</w:t>
      </w:r>
      <w:proofErr w:type="spellEnd"/>
      <w:r w:rsidRPr="00865417">
        <w:rPr>
          <w:b/>
        </w:rPr>
        <w:t xml:space="preserve"> </w:t>
      </w:r>
      <w:proofErr w:type="spellStart"/>
      <w:r w:rsidRPr="00865417">
        <w:rPr>
          <w:b/>
        </w:rPr>
        <w:t>Quyên</w:t>
      </w:r>
      <w:proofErr w:type="spellEnd"/>
    </w:p>
    <w:p w:rsidR="007C1110" w:rsidRPr="007C1110" w:rsidRDefault="007C1110" w:rsidP="007C1110">
      <w:pPr>
        <w:pStyle w:val="ListParagraph"/>
        <w:numPr>
          <w:ilvl w:val="0"/>
          <w:numId w:val="2"/>
        </w:numPr>
        <w:tabs>
          <w:tab w:val="left" w:pos="1134"/>
        </w:tabs>
        <w:spacing w:after="0" w:line="360" w:lineRule="auto"/>
        <w:jc w:val="both"/>
        <w:outlineLvl w:val="0"/>
        <w:rPr>
          <w:rFonts w:cs="Times New Roman"/>
          <w:b/>
          <w:color w:val="000000" w:themeColor="text1"/>
          <w:spacing w:val="-10"/>
          <w:szCs w:val="28"/>
          <w:lang w:val="vi-VN"/>
        </w:rPr>
      </w:pPr>
      <w:bookmarkStart w:id="0" w:name="_Toc536307019"/>
      <w:r w:rsidRPr="007C1110">
        <w:rPr>
          <w:rFonts w:cs="Times New Roman"/>
          <w:b/>
          <w:color w:val="000000" w:themeColor="text1"/>
          <w:spacing w:val="-10"/>
          <w:szCs w:val="28"/>
          <w:lang w:val="vi-VN"/>
        </w:rPr>
        <w:t>Mục đích của phân định thẩm quyền giữa trung ương và địa phương</w:t>
      </w:r>
      <w:bookmarkEnd w:id="0"/>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Việc phân cấp, phân quyền giữa trung ương và địa phương: Một mặt, nhằm phát huy tính năng động, sáng tạo, quyền tự chủ, tự chịu trách nhiệm của chính quyền địa phương trên cơ sở phân định rõ, cụ thể nhiệm vụ, quyền hạn, trách nhiệm của mỗi cấp trong bộ máy chính quyền nhà nước; mặt khác, bảo đảm sự quản lý tập trung, thống nhất và thông suốt của chính quyền trung ương, tăng cường kỷ luật, kỷ cương để nâng cao hiệu lực, hiệu quả quản lý nhà nước phục vụ tốt hơn nhu cầu và lợi ích của nhân dân, thúc đẩy kinh tế - xã hội ở từng địa phương phát triển, trên cơ sở phát huy thế mạnh của mỗi địa phương trong một nhà nước thống nhất. Do vậy, việc phân cấp, phân quyền hợp lý, chính xác sẽ có những tác dụng tích cực như:</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Thúc đẩy sự phát triển dân chủ thông qua việc cung cấp những cơ hội tốt hơn để người dân tham gia tích cực và trực tiếp hơn vào các quá trình ra quyết định của các cơ quan nhà nước các cấp.</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-Tăng cường hiệu quả của việc cung cấp các dịch vụ công cho nhân dân thông qua việc ủy quyền cho chính quyền địa phương thực thi chức năng cung cấp dịch vụ công, từ đó hạn chế sự quan liêu và trì trệ của các cơ quan nhà nước cấp trên, cơ quan trung 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Tạo điều kiện để nâng cao chất lượng của những dịch vụ công được cung cấp cho người dân dựa trên trách nhiệm giải trình và sự nhạy cảm trong việc nắm bắt và đáp ứng nhu cầu của dân chúng của chính quyền địa phương.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lastRenderedPageBreak/>
        <w:t>- Tăng cường sự phát triển về kinh tế, xã hội dựa trên sự am hiểu chính xác điều kiện kinh tế - xã hội và các đặc điểm về địa lý, dân cư… của chính quyền địa phương, trên cơ sở đó đề ra các kế hoạch và có những chính sách đúng đắn cho việc phát triển đó, phát huy được thế mạnh của mỗi địa phương.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Tăng cường sự chủ động, minh bạch, trách nhiệm giải trình và năng lực giải quyết các công việc của các cơ quan chính quyền địa phương.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Cho phép đại điện đa dạng hơn về chính trị và sự tham gia của các nhóm lợi ích như văn hóa, chính trị, tôn giáo, sắc tộc khác nhau… vào quá trình ra quyết định của các cơ quan nhà nước liên quan đến các vấn đề của mỗi địa phương.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Tăng cường sự ổn định chính trị và sự thống nhất của quốc gia thông qua việc cho phép người dân quyền giám sát một cách trực tiếp và hiệu quả hơn các chương trình, kế hoạch và hoạt động của chính quyền nhà nước ở địa phương thuộc các cấp khác nhau.</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Tạo điều kiện cho những ý tưởng kinh tế, chính trị, xã hội… mới nảy sinh, từ đó có được những chương trình, hoạt động quản lý nhà nước có tính sáng tạo hơn đối với mỗi địa phương.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Hoạt động phân cấp, phân quyền, nếu thực hiện không tốt cũng có thể sẽ dẫn đến những ảnh hưởng tiêu cực như:</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Thông qua việc trao cho những người cầm quyền ở địa phương nhiều quyền lực hơn, nhiều khi vượt ra ngoài sự kiểm soát của chính quyền trung ương có thể dẫn đến làm tổn hại nền dân chủ xã hội.</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Làm giảm hiệu quả của việc cung cấp dịch vụ công cho các tổ chức và cá nhân do thiếu sự kiểm soát và giám sát có hiệu quả việc thực thi chức năng này từ phía các cơ quan cấp trên, cơ quan trung 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Chất lượng của những dịch vụ công được cung cấp cho người dân bị ảnh hưởng vì chính quyền địa phương thiếu năng lực hoặc những nguồn lực cần thiết để đảm bảo việc cung cấp những dịch vụ đó.</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lastRenderedPageBreak/>
        <w:t>- Làm tăng nguy cơ tham nhũng trong bộ máy nhà nước ở các địa phương và khả năng phát triển bất bình đẳng giữa các vùng miền, khu vực khác nhau của đất nước, có thể gây ra những mâu thuẫn giữa các địa phương với nhau hoặc giữa địa phương với trung ương.</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Có nguy cơ khiến các cơ quan ở các cấp chính quyền địa phương bị quá tải vì phải thực hiện quá nhiều công việc khi nguồn nhân lực không đáp ứng được. Hoặc làm cho đội ngũ cán bộ, công chức của bộ máy chính quyền địa phương tăng lên quá nhiều dẫn đến lãng phí nguồn nhân lực của bộ máy nhà nước.</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Tạo ra những kình địch, cạnh tranh mới, hoặc kích thích những sự kình địch, cạnh tranh tiềm tàng giữa các địa phương khác nhau trong đất nước về các vấn đề khác nhau của đời sống xã hội.  Thậm chí việc phân cấp, phân quyền còn có nguy cơ làm suy yếu quốc gia vì có thể dẫn đến gia tăng sự bất bình đẳng giữa các khu vực hoặc chủ nghĩa ly khai, hoặc làm suy yếu hoạt động quản lý tài chính của quốc gia.</w:t>
      </w:r>
    </w:p>
    <w:p w:rsidR="007C1110" w:rsidRPr="00296B55"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 Làm giảm tính sáng tạo trong quản lý nhà nước do việc trao quyền cho những người cầm quyền bảo thủ ở một số địa phương.</w:t>
      </w:r>
    </w:p>
    <w:p w:rsidR="007C1110" w:rsidRPr="00696718" w:rsidRDefault="007C1110" w:rsidP="007C1110">
      <w:pPr>
        <w:spacing w:after="0" w:line="360" w:lineRule="auto"/>
        <w:ind w:firstLine="567"/>
        <w:jc w:val="both"/>
        <w:rPr>
          <w:rFonts w:cs="Times New Roman"/>
          <w:color w:val="000000" w:themeColor="text1"/>
          <w:szCs w:val="28"/>
          <w:lang w:val="vi-VN"/>
        </w:rPr>
      </w:pPr>
      <w:r w:rsidRPr="00296B55">
        <w:rPr>
          <w:rFonts w:cs="Times New Roman"/>
          <w:color w:val="000000" w:themeColor="text1"/>
          <w:szCs w:val="28"/>
          <w:lang w:val="vi-VN"/>
        </w:rPr>
        <w:t>Trong lịch sử phát triển của nhân loại có rất nhiều mô hình phân cấp, phân quyền giữa trung ương với địa phương được mỗi quốc gia, mỗi thời kỳ phát triển sáng tạo ra, dẫn đến cách thức tổ chức và hoạt động của chính quyền địa phương ở các quốc gia là rất đa dạng, phong phú. Theo các nhà khoa học thì hiện nay trên thế giới có 4 mô hình phân cấp, phân quyền giữa trung ương và địa phương cơ bản là mô hình Anh - phân cấp cho chính quyền địa phương theo chức năng (functional regulation); mô hình Pháp - song trùng giám sát (dual supervision); mô hình Đức - phụ trợ lãnh thổ (areal subsidiarization); mô hình xô viết - song trùng trực thuộc (dual subordination). Như vậy, mỗi quốc gia có cách thức phân cấp, phân quyền giữa trung ương và địa phương khác nhau và mỗi cách thức đều có những ưu điểm và hạn chế nhất định</w:t>
      </w:r>
      <w:r w:rsidRPr="00696718">
        <w:rPr>
          <w:rFonts w:cs="Times New Roman"/>
          <w:color w:val="000000" w:themeColor="text1"/>
          <w:szCs w:val="28"/>
          <w:lang w:val="vi-VN"/>
        </w:rPr>
        <w:t>.</w:t>
      </w:r>
    </w:p>
    <w:p w:rsidR="007C1110" w:rsidRPr="007C1110" w:rsidRDefault="007C1110" w:rsidP="007C1110">
      <w:pPr>
        <w:jc w:val="both"/>
        <w:rPr>
          <w:lang w:val="vi-VN"/>
        </w:rPr>
      </w:pPr>
    </w:p>
    <w:sectPr w:rsidR="007C1110" w:rsidRPr="007C1110" w:rsidSect="009E7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163F"/>
    <w:multiLevelType w:val="multilevel"/>
    <w:tmpl w:val="3482B7F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i/>
        <w:lang w:val="vi-V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309B5FCF"/>
    <w:multiLevelType w:val="hybridMultilevel"/>
    <w:tmpl w:val="75D4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1110"/>
    <w:rsid w:val="00321537"/>
    <w:rsid w:val="007C1110"/>
    <w:rsid w:val="009E7D6B"/>
    <w:rsid w:val="00BD56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10"/>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4470</Characters>
  <Application>Microsoft Office Word</Application>
  <DocSecurity>0</DocSecurity>
  <Lines>37</Lines>
  <Paragraphs>10</Paragraphs>
  <ScaleCrop>false</ScaleCrop>
  <Company>Grizli777</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2019-05-19T02:32:00Z</dcterms:created>
  <dcterms:modified xsi:type="dcterms:W3CDTF">2019-05-19T02:33:00Z</dcterms:modified>
</cp:coreProperties>
</file>