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BE137" w14:textId="77777777" w:rsidR="00553434" w:rsidRPr="00553434" w:rsidRDefault="00553434" w:rsidP="00553434">
      <w:pPr>
        <w:shd w:val="clear" w:color="auto" w:fill="FFFFFF"/>
        <w:spacing w:line="405" w:lineRule="atLeast"/>
        <w:jc w:val="both"/>
        <w:outlineLvl w:val="1"/>
        <w:rPr>
          <w:rFonts w:ascii="Times" w:eastAsia="Times New Roman" w:hAnsi="Times" w:cs="Times New Roman"/>
          <w:color w:val="000000" w:themeColor="text1"/>
          <w:sz w:val="24"/>
          <w:szCs w:val="24"/>
        </w:rPr>
      </w:pPr>
    </w:p>
    <w:p w14:paraId="68DBBA25" w14:textId="77777777" w:rsidR="00553434" w:rsidRPr="00553434" w:rsidRDefault="00553434" w:rsidP="00553434">
      <w:pPr>
        <w:shd w:val="clear" w:color="auto" w:fill="FFFFFF"/>
        <w:spacing w:line="405" w:lineRule="atLeast"/>
        <w:jc w:val="both"/>
        <w:outlineLvl w:val="1"/>
        <w:rPr>
          <w:rFonts w:ascii="Times" w:eastAsia="Times New Roman" w:hAnsi="Times" w:cs="Times New Roman"/>
          <w:color w:val="000000" w:themeColor="text1"/>
          <w:sz w:val="24"/>
          <w:szCs w:val="24"/>
        </w:rPr>
      </w:pPr>
    </w:p>
    <w:p w14:paraId="5080FC00" w14:textId="77777777" w:rsidR="00553434" w:rsidRPr="00553434" w:rsidRDefault="00553434" w:rsidP="009842FD">
      <w:pPr>
        <w:shd w:val="clear" w:color="auto" w:fill="FFFFFF"/>
        <w:spacing w:line="405" w:lineRule="atLeast"/>
        <w:jc w:val="center"/>
        <w:outlineLvl w:val="1"/>
        <w:rPr>
          <w:rFonts w:ascii="Times" w:eastAsia="Times New Roman" w:hAnsi="Times" w:cs="Times New Roman"/>
          <w:b/>
          <w:color w:val="000000" w:themeColor="text1"/>
          <w:sz w:val="24"/>
          <w:szCs w:val="24"/>
        </w:rPr>
      </w:pPr>
      <w:hyperlink r:id="rId4" w:tooltip="THỜI HIỆU KHỞI KIỆN VỤ ÁN DÂN SỰ" w:history="1">
        <w:r w:rsidRPr="009842FD">
          <w:rPr>
            <w:rFonts w:ascii="Times" w:eastAsia="Times New Roman" w:hAnsi="Times" w:cs="Times New Roman"/>
            <w:b/>
            <w:color w:val="000000" w:themeColor="text1"/>
            <w:sz w:val="24"/>
            <w:szCs w:val="24"/>
          </w:rPr>
          <w:t>THỜI HIỆU KHỞI KIỆN VỤ ÁN DÂN SỰ</w:t>
        </w:r>
      </w:hyperlink>
    </w:p>
    <w:p w14:paraId="7F506EAD" w14:textId="77777777" w:rsidR="00553434" w:rsidRPr="00553434" w:rsidRDefault="00553434" w:rsidP="00553434">
      <w:pPr>
        <w:shd w:val="clear" w:color="auto" w:fill="FFFFFF"/>
        <w:jc w:val="both"/>
        <w:rPr>
          <w:rFonts w:ascii="Times" w:eastAsia="Times New Roman" w:hAnsi="Times" w:cs="Times New Roman"/>
          <w:color w:val="000000" w:themeColor="text1"/>
          <w:sz w:val="17"/>
          <w:szCs w:val="17"/>
        </w:rPr>
      </w:pPr>
    </w:p>
    <w:p w14:paraId="4BB2EB84" w14:textId="77777777" w:rsidR="00553434" w:rsidRPr="00553434" w:rsidRDefault="00553434" w:rsidP="00553434">
      <w:pPr>
        <w:shd w:val="clear" w:color="auto" w:fill="FFFFFF"/>
        <w:jc w:val="both"/>
        <w:rPr>
          <w:rFonts w:ascii="Times" w:eastAsia="Times New Roman" w:hAnsi="Times" w:cs="Times New Roman"/>
          <w:color w:val="000000" w:themeColor="text1"/>
          <w:sz w:val="17"/>
          <w:szCs w:val="17"/>
        </w:rPr>
      </w:pPr>
    </w:p>
    <w:p w14:paraId="2A020CC8" w14:textId="77777777" w:rsidR="00553434" w:rsidRPr="00553434" w:rsidRDefault="00553434" w:rsidP="00553434">
      <w:pPr>
        <w:shd w:val="clear" w:color="auto" w:fill="FFFFFF"/>
        <w:jc w:val="both"/>
        <w:rPr>
          <w:rFonts w:ascii="Times" w:eastAsia="Times New Roman" w:hAnsi="Times" w:cs="Times New Roman"/>
          <w:color w:val="000000" w:themeColor="text1"/>
          <w:sz w:val="23"/>
          <w:szCs w:val="17"/>
        </w:rPr>
      </w:pPr>
    </w:p>
    <w:p w14:paraId="2BB128BA" w14:textId="77777777" w:rsidR="009842FD" w:rsidRPr="00621CE8" w:rsidRDefault="00553434" w:rsidP="009842FD">
      <w:pPr>
        <w:shd w:val="clear" w:color="auto" w:fill="FFFFFF"/>
        <w:jc w:val="right"/>
        <w:textAlignment w:val="top"/>
        <w:rPr>
          <w:rFonts w:ascii="Times" w:hAnsi="Times" w:cs="Times New Roman"/>
          <w:b/>
          <w:bCs/>
          <w:color w:val="000000" w:themeColor="text1"/>
          <w:sz w:val="24"/>
          <w:szCs w:val="18"/>
        </w:rPr>
      </w:pPr>
      <w:hyperlink r:id="rId5" w:tooltip="Sử dụng hình ảnh trên trang babypips.com" w:history="1"/>
      <w:hyperlink r:id="rId6" w:tooltip="Click để tra cứu bài viết cùng Tác giả" w:history="1">
        <w:r w:rsidRPr="00621CE8">
          <w:rPr>
            <w:rFonts w:ascii="Times" w:hAnsi="Times" w:cs="Times New Roman"/>
            <w:b/>
            <w:bCs/>
            <w:color w:val="000000" w:themeColor="text1"/>
            <w:sz w:val="24"/>
            <w:szCs w:val="18"/>
          </w:rPr>
          <w:t>DƯƠNG TẤN THANH</w:t>
        </w:r>
      </w:hyperlink>
      <w:r w:rsidRPr="00621CE8">
        <w:rPr>
          <w:rFonts w:ascii="Times" w:hAnsi="Times" w:cs="Times New Roman"/>
          <w:b/>
          <w:bCs/>
          <w:color w:val="000000" w:themeColor="text1"/>
          <w:sz w:val="24"/>
          <w:szCs w:val="18"/>
        </w:rPr>
        <w:t xml:space="preserve"> – TAND </w:t>
      </w:r>
    </w:p>
    <w:p w14:paraId="467439C4" w14:textId="77777777" w:rsidR="00553434" w:rsidRPr="00621CE8" w:rsidRDefault="00553434" w:rsidP="009842FD">
      <w:pPr>
        <w:shd w:val="clear" w:color="auto" w:fill="FFFFFF"/>
        <w:jc w:val="right"/>
        <w:textAlignment w:val="top"/>
        <w:rPr>
          <w:rFonts w:ascii="Times" w:hAnsi="Times" w:cs="Times New Roman"/>
          <w:b/>
          <w:bCs/>
          <w:color w:val="000000" w:themeColor="text1"/>
          <w:sz w:val="24"/>
          <w:szCs w:val="18"/>
        </w:rPr>
      </w:pPr>
      <w:r w:rsidRPr="00621CE8">
        <w:rPr>
          <w:rFonts w:ascii="Times" w:hAnsi="Times" w:cs="Times New Roman"/>
          <w:b/>
          <w:bCs/>
          <w:color w:val="000000" w:themeColor="text1"/>
          <w:sz w:val="24"/>
          <w:szCs w:val="18"/>
        </w:rPr>
        <w:t>thị xã Duyên Hải, tỉnh Trà Vinh</w:t>
      </w:r>
    </w:p>
    <w:p w14:paraId="73D8F801" w14:textId="77777777" w:rsidR="009842FD" w:rsidRPr="00553434" w:rsidRDefault="009842FD" w:rsidP="00553434">
      <w:pPr>
        <w:shd w:val="clear" w:color="auto" w:fill="FFFFFF"/>
        <w:jc w:val="both"/>
        <w:textAlignment w:val="top"/>
        <w:rPr>
          <w:rFonts w:ascii="Times" w:hAnsi="Times" w:cs="Times New Roman"/>
          <w:color w:val="000000" w:themeColor="text1"/>
          <w:szCs w:val="26"/>
        </w:rPr>
      </w:pPr>
    </w:p>
    <w:p w14:paraId="65AF3C77" w14:textId="77777777" w:rsidR="00553434" w:rsidRPr="00553434" w:rsidRDefault="00553434" w:rsidP="00840BBE">
      <w:pPr>
        <w:shd w:val="clear" w:color="auto" w:fill="FFFFFF"/>
        <w:ind w:firstLine="720"/>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Theo quy định của BLDS năm 2015 thì thời hiệu khởi kiện là thời hạn mà chủ thể được quyền khởi kiện để yêu cầu Tòa án giải quyết vụ án dân sự bảo vệ quyền và lợi ích hợp pháp bị xâm phạm; nếu thời hạn đó kết thúc thì mất quyền khởi kiện. Thời hiệu khởi kiện vụ án dân sự được tính từ ngày người có quyền yêu cầu biết hoặc phải biết quyền, lợi ích hợp pháp của mình bị xâm phạm, trừ trường hợp pháp luật có quy định khác. Theo quy định của BLTTDS năm 2015 thì thời hiệu khởi kiện được thực hiện theo quy định của BLDS năm 2015.</w:t>
      </w:r>
    </w:p>
    <w:p w14:paraId="0EAF960C"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Trong phạm vi bài viết này, tác giả xin đề cập đến những quy định của pháp luật về thời hiệu khởi kiện và thời hiệu khởi kiện trong một số vụ án dân sự cụ thể.</w:t>
      </w:r>
    </w:p>
    <w:p w14:paraId="011C04A8" w14:textId="77777777" w:rsidR="00553434" w:rsidRPr="00553434" w:rsidRDefault="00553434" w:rsidP="00840BBE">
      <w:pPr>
        <w:shd w:val="clear" w:color="auto" w:fill="FFFFFF"/>
        <w:ind w:firstLine="720"/>
        <w:jc w:val="both"/>
        <w:textAlignment w:val="top"/>
        <w:rPr>
          <w:rFonts w:ascii="Times" w:hAnsi="Times" w:cs="Times New Roman"/>
          <w:color w:val="000000" w:themeColor="text1"/>
          <w:szCs w:val="26"/>
        </w:rPr>
      </w:pPr>
      <w:r w:rsidRPr="00840BBE">
        <w:rPr>
          <w:rFonts w:ascii="Times" w:hAnsi="Times" w:cs="Times New Roman"/>
          <w:b/>
          <w:bCs/>
          <w:color w:val="000000" w:themeColor="text1"/>
          <w:szCs w:val="26"/>
        </w:rPr>
        <w:t>1. Một số quy định chung về thời hiệu khởi kiện</w:t>
      </w:r>
    </w:p>
    <w:p w14:paraId="2AEB60A6" w14:textId="77777777" w:rsidR="00553434" w:rsidRPr="00553434" w:rsidRDefault="00553434" w:rsidP="00840BBE">
      <w:pPr>
        <w:shd w:val="clear" w:color="auto" w:fill="FFFFFF"/>
        <w:ind w:firstLine="720"/>
        <w:jc w:val="both"/>
        <w:textAlignment w:val="top"/>
        <w:rPr>
          <w:rFonts w:ascii="Times" w:hAnsi="Times" w:cs="Times New Roman"/>
          <w:color w:val="000000" w:themeColor="text1"/>
          <w:szCs w:val="26"/>
        </w:rPr>
      </w:pPr>
      <w:r w:rsidRPr="00840BBE">
        <w:rPr>
          <w:rFonts w:ascii="Times" w:hAnsi="Times" w:cs="Times New Roman"/>
          <w:b/>
          <w:bCs/>
          <w:color w:val="000000" w:themeColor="text1"/>
          <w:szCs w:val="26"/>
        </w:rPr>
        <w:t>1.1. Áp dụng quy định về thời hiệu</w:t>
      </w:r>
    </w:p>
    <w:p w14:paraId="22E77BF3" w14:textId="77777777" w:rsidR="00553434" w:rsidRPr="00553434" w:rsidRDefault="00553434" w:rsidP="00621CE8">
      <w:pPr>
        <w:shd w:val="clear" w:color="auto" w:fill="FFFFFF"/>
        <w:ind w:firstLine="720"/>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Tại Điều 149 BLDS và Điều 181 BLTTDS đều quy định Tòa án chỉ áp dụng quy định về thời hiệu theo yêu cầu áp dụng thời hiệu của một bên hoặc các bên với điều kiện yêu cầu này phải được đưa ra trước khi Tòa án cấp sơ thẩm ra bản án, quyết định giải quyết vụ việ</w:t>
      </w:r>
      <w:r w:rsidR="00621CE8">
        <w:rPr>
          <w:rFonts w:ascii="Times" w:hAnsi="Times" w:cs="Times New Roman"/>
          <w:color w:val="000000" w:themeColor="text1"/>
          <w:szCs w:val="26"/>
        </w:rPr>
        <w:t>c.</w:t>
      </w:r>
    </w:p>
    <w:p w14:paraId="258AEEBC" w14:textId="77777777" w:rsidR="00553434" w:rsidRPr="00553434" w:rsidRDefault="00553434" w:rsidP="00621CE8">
      <w:pPr>
        <w:shd w:val="clear" w:color="auto" w:fill="FFFFFF"/>
        <w:ind w:firstLine="720"/>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Vấn đề này, thực tiễn tại Tòa án vẫn còn quan điểm khác nhau, một bên là Thẩm phán phải giải thích và một bên là Thẩm phán không được giải thích cho đương sự biết việc đương sự được quyền yêu cầu Tòa án áp dụng quy định về thời hiệu nếu biết thời hiệu khởi kiện đã hết. Vì hậu quả pháp lý hoàn toàn khác nhau. Nếu Thẩm phán giải thích mà đương sự yêu cầu thì Tòa án sẽ đình chỉ giải quyết vụ án hoặc đình chỉ giải quyết yêu cầu phản tố của bị đơn, yêu cầu độc lập của người có quyền lợi, nghĩa vụ liên quan. Nếu Thẩm phán không giải thích và đương sự không biết được quyền yêu cầu áp dụng quy định về thời hiệu thì Tòa án sẽ giải quyết vụ án theo thủ tục chung.</w:t>
      </w:r>
    </w:p>
    <w:p w14:paraId="5DF56F22" w14:textId="77777777" w:rsidR="00553434" w:rsidRPr="00553434" w:rsidRDefault="00553434" w:rsidP="00621CE8">
      <w:pPr>
        <w:shd w:val="clear" w:color="auto" w:fill="FFFFFF"/>
        <w:ind w:firstLine="720"/>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Tại khoản 1 và Điểm a khoản 4 Điều 210 BLTTDS năm 2015 quy định tại phiên họp kiểm tra việc giao nộp, tiếp cận, công khai chứng cứ và hòa giải quy định Thẩm phán phổ biên cho các đương sự về quyền và nghĩa vụ của họ theo quy định của BLTTDS và các quy định của pháp luật liên quan đến giải quyết vụ án. Như vậy, các đương sự khi tham gia tố tụng là hoàn toàn bình đẳng về quyền và nghĩa vụ và đương sự phải được Tòa án giải thích đầy đủ quyền và nghĩa vụ. Vì vậy, Thẩm phán phải giải thích cho đương sự biết quyền được yêu cầu Tòa án áp dụng quy định về thời hiệu.</w:t>
      </w:r>
    </w:p>
    <w:p w14:paraId="2BB562D4" w14:textId="77777777" w:rsidR="00553434" w:rsidRPr="00553434" w:rsidRDefault="00553434" w:rsidP="00840BBE">
      <w:pPr>
        <w:shd w:val="clear" w:color="auto" w:fill="FFFFFF"/>
        <w:ind w:firstLine="720"/>
        <w:jc w:val="both"/>
        <w:textAlignment w:val="top"/>
        <w:rPr>
          <w:rFonts w:ascii="Times" w:hAnsi="Times" w:cs="Times New Roman"/>
          <w:color w:val="000000" w:themeColor="text1"/>
          <w:szCs w:val="26"/>
        </w:rPr>
      </w:pPr>
      <w:r w:rsidRPr="00840BBE">
        <w:rPr>
          <w:rFonts w:ascii="Times" w:hAnsi="Times" w:cs="Times New Roman"/>
          <w:b/>
          <w:bCs/>
          <w:color w:val="000000" w:themeColor="text1"/>
          <w:szCs w:val="26"/>
        </w:rPr>
        <w:t>1.2. Không áp dụng thời hiệu khởi kiện</w:t>
      </w:r>
    </w:p>
    <w:p w14:paraId="689D175C"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Theo quy định tại Điều 155 của BLDS năm 2015 thì thời hiệu khởi kiện không áp dụng trong trường hợp sau đây:</w:t>
      </w:r>
    </w:p>
    <w:p w14:paraId="6D961509"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 Yêu cầu bảo vệ quyền nhân thân không gắn với tài sản.</w:t>
      </w:r>
    </w:p>
    <w:p w14:paraId="31B1FAB3"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lastRenderedPageBreak/>
        <w:t>– Yêu cầu bảo vệ quyền sở hữu, trừ trường hợp Bộ luật này, luật khác có liên quan quy định khác.</w:t>
      </w:r>
    </w:p>
    <w:p w14:paraId="13EB6565"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 Tranh chấp về quyền sử dụng đất theo quy định của Luật Đất đai.</w:t>
      </w:r>
    </w:p>
    <w:p w14:paraId="489D884A"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 Trường hợp khác do luật quy định.</w:t>
      </w:r>
    </w:p>
    <w:p w14:paraId="5E826C5A" w14:textId="77777777" w:rsidR="00553434" w:rsidRPr="00553434" w:rsidRDefault="00553434" w:rsidP="00621CE8">
      <w:pPr>
        <w:shd w:val="clear" w:color="auto" w:fill="FFFFFF"/>
        <w:ind w:firstLine="720"/>
        <w:jc w:val="both"/>
        <w:textAlignment w:val="top"/>
        <w:rPr>
          <w:rFonts w:ascii="Times" w:hAnsi="Times" w:cs="Times New Roman"/>
          <w:color w:val="000000" w:themeColor="text1"/>
          <w:szCs w:val="26"/>
        </w:rPr>
      </w:pPr>
      <w:r w:rsidRPr="00840BBE">
        <w:rPr>
          <w:rFonts w:ascii="Times" w:hAnsi="Times" w:cs="Times New Roman"/>
          <w:b/>
          <w:bCs/>
          <w:color w:val="000000" w:themeColor="text1"/>
          <w:szCs w:val="26"/>
        </w:rPr>
        <w:t>1.3. Thời gian không tính vào thời hiệu khởi kiện vụ án dân sự, thời hiệu yêu cầu giải quyết việc dân sự</w:t>
      </w:r>
    </w:p>
    <w:p w14:paraId="4C83A0FF" w14:textId="77777777" w:rsidR="00553434" w:rsidRPr="00553434" w:rsidRDefault="00553434" w:rsidP="00621CE8">
      <w:pPr>
        <w:shd w:val="clear" w:color="auto" w:fill="FFFFFF"/>
        <w:ind w:firstLine="720"/>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Tại Điều 156 của BLDS năm 2015 có quy định như sau: Thời gian không tính vào thời hiệu khởi kiện vụ án dân sự, thời hiệu yêu cầu giải quyết việc dân sự là khoảng thời gian xảy ra một trong các sự kiện sau đây:</w:t>
      </w:r>
    </w:p>
    <w:p w14:paraId="70C42A7B"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 Sự kiện bất khả kháng hoặc trở ngại khách quan làm cho chủ thể có quyền khởi kiện, quyền yêu cầu không thể khởi kiện, yêu cầu trong phạm vi thời hiệu.</w:t>
      </w:r>
    </w:p>
    <w:p w14:paraId="309E9457"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Sự kiện bất khả kháng là sự kiện xảy ra một cách khách quan không thể lường trước được và không thể khắc phục được mặc dù đã áp dụng mọi biện pháp cần thiết và khả năng cho phép.</w:t>
      </w:r>
    </w:p>
    <w:p w14:paraId="4EAD978F"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Trở ngại khách quan là những trở ngại do hoàn cảnh khách quan tác động làm cho người có quyền, nghĩa vụ dân sự không thể biết về việc quyền, lợi ích hợp pháp của mình bị xâm phạm hoặc không thể thực hiện được quyền, nghĩa vụ dân sự của mình;</w:t>
      </w:r>
    </w:p>
    <w:p w14:paraId="749C2D80"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 Chưa có người đại diện trong trường hợp người có quyền khởi kiện, người có quyền yêu cầu là người chưa thành niên, mất năng lực hành vi dân sự, có khó khăn trong nhận thức, làm chủ hành vi hoặc bị hạn chế năng lực hành vi dân sự;</w:t>
      </w:r>
    </w:p>
    <w:p w14:paraId="268A7E90"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 Người chưa thành niên, người mất năng lực hành vi dân sự, người có khó khăn trong nhận thức, làm chủ hành vi, người bị hạn chế năng lực hành vi dân sự chưa có người đại diện khác thay thế trong trường hợp sau đây:</w:t>
      </w:r>
    </w:p>
    <w:p w14:paraId="2A2625EB"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 Người đại diện chết nếu là cá nhân, chấm dứt tồn tại nếu là pháp nhân;</w:t>
      </w:r>
    </w:p>
    <w:p w14:paraId="1489666A"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 Người đại diện vì lý do chính đáng mà không thể tiếp tục đại diện được.</w:t>
      </w:r>
    </w:p>
    <w:p w14:paraId="762AB344" w14:textId="77777777" w:rsidR="00553434" w:rsidRPr="00553434" w:rsidRDefault="00553434" w:rsidP="00621CE8">
      <w:pPr>
        <w:shd w:val="clear" w:color="auto" w:fill="FFFFFF"/>
        <w:ind w:firstLine="720"/>
        <w:jc w:val="both"/>
        <w:textAlignment w:val="top"/>
        <w:rPr>
          <w:rFonts w:ascii="Times" w:hAnsi="Times" w:cs="Times New Roman"/>
          <w:color w:val="000000" w:themeColor="text1"/>
          <w:szCs w:val="26"/>
        </w:rPr>
      </w:pPr>
      <w:r w:rsidRPr="00840BBE">
        <w:rPr>
          <w:rFonts w:ascii="Times" w:hAnsi="Times" w:cs="Times New Roman"/>
          <w:b/>
          <w:bCs/>
          <w:color w:val="000000" w:themeColor="text1"/>
          <w:szCs w:val="26"/>
        </w:rPr>
        <w:t>1.4. Bắt đầu lại thời hiệu khởi kiện vụ án dân sự</w:t>
      </w:r>
    </w:p>
    <w:p w14:paraId="5F2C31D6"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Điều 157 BLDS năm 2015 quy định thời hiệu khởi kiện vụ án dân sự bắt đầu lại trong trường hợp sau đây:</w:t>
      </w:r>
    </w:p>
    <w:p w14:paraId="3D80BB94"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 Bên có nghĩa vụ đã thừa nhận một phần hoặc toàn bộ nghĩa vụ của mình đối với người khởi kiện;</w:t>
      </w:r>
    </w:p>
    <w:p w14:paraId="0EA8F8A2"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 Bên có nghĩa vụ thừa nhận hoặc thực hiện xong một phần nghĩa vụ của mình đối với người khởi kiện;</w:t>
      </w:r>
    </w:p>
    <w:p w14:paraId="0357067E"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 Các bên đã tự hòa giải với nhau.</w:t>
      </w:r>
    </w:p>
    <w:p w14:paraId="3CA0C69F"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Thời hiệu khởi kiện vụ án dân sự bắt đầu lại kể từ ngày tiếp theo sau ngày xảy ra sự kiện theo các trường hợp nêu trên.</w:t>
      </w:r>
    </w:p>
    <w:p w14:paraId="7EF09A19" w14:textId="77777777" w:rsidR="00553434" w:rsidRPr="00553434" w:rsidRDefault="00553434" w:rsidP="00621CE8">
      <w:pPr>
        <w:shd w:val="clear" w:color="auto" w:fill="FFFFFF"/>
        <w:ind w:firstLine="720"/>
        <w:jc w:val="both"/>
        <w:textAlignment w:val="top"/>
        <w:rPr>
          <w:rFonts w:ascii="Times" w:hAnsi="Times" w:cs="Times New Roman"/>
          <w:color w:val="000000" w:themeColor="text1"/>
          <w:szCs w:val="26"/>
        </w:rPr>
      </w:pPr>
      <w:r w:rsidRPr="00840BBE">
        <w:rPr>
          <w:rFonts w:ascii="Times" w:hAnsi="Times" w:cs="Times New Roman"/>
          <w:b/>
          <w:bCs/>
          <w:color w:val="000000" w:themeColor="text1"/>
          <w:szCs w:val="26"/>
        </w:rPr>
        <w:t>2. Thời hiệu khởi kiện đối với một số tranh chấp dân sự</w:t>
      </w:r>
    </w:p>
    <w:p w14:paraId="6F54B733" w14:textId="77777777" w:rsidR="00553434" w:rsidRPr="00553434" w:rsidRDefault="00553434" w:rsidP="00621CE8">
      <w:pPr>
        <w:shd w:val="clear" w:color="auto" w:fill="FFFFFF"/>
        <w:ind w:firstLine="720"/>
        <w:jc w:val="both"/>
        <w:textAlignment w:val="top"/>
        <w:rPr>
          <w:rFonts w:ascii="Times" w:hAnsi="Times" w:cs="Times New Roman"/>
          <w:color w:val="000000" w:themeColor="text1"/>
          <w:szCs w:val="26"/>
        </w:rPr>
      </w:pPr>
      <w:r w:rsidRPr="00840BBE">
        <w:rPr>
          <w:rFonts w:ascii="Times" w:hAnsi="Times" w:cs="Times New Roman"/>
          <w:b/>
          <w:bCs/>
          <w:color w:val="000000" w:themeColor="text1"/>
          <w:szCs w:val="26"/>
        </w:rPr>
        <w:t>2.</w:t>
      </w:r>
      <w:proofErr w:type="gramStart"/>
      <w:r w:rsidRPr="00840BBE">
        <w:rPr>
          <w:rFonts w:ascii="Times" w:hAnsi="Times" w:cs="Times New Roman"/>
          <w:b/>
          <w:bCs/>
          <w:color w:val="000000" w:themeColor="text1"/>
          <w:szCs w:val="26"/>
        </w:rPr>
        <w:t>1.Thời</w:t>
      </w:r>
      <w:proofErr w:type="gramEnd"/>
      <w:r w:rsidRPr="00840BBE">
        <w:rPr>
          <w:rFonts w:ascii="Times" w:hAnsi="Times" w:cs="Times New Roman"/>
          <w:b/>
          <w:bCs/>
          <w:color w:val="000000" w:themeColor="text1"/>
          <w:szCs w:val="26"/>
        </w:rPr>
        <w:t xml:space="preserve"> hiệu thừa kế</w:t>
      </w:r>
    </w:p>
    <w:p w14:paraId="20052520" w14:textId="77777777" w:rsidR="00553434" w:rsidRPr="00553434" w:rsidRDefault="00553434" w:rsidP="00621CE8">
      <w:pPr>
        <w:shd w:val="clear" w:color="auto" w:fill="FFFFFF"/>
        <w:ind w:firstLine="720"/>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Về thời hiệu thừa kế, theo quy định tại Điều 623 của BLDS năm 2015 thì:</w:t>
      </w:r>
    </w:p>
    <w:p w14:paraId="006E1160" w14:textId="77777777" w:rsidR="00553434" w:rsidRPr="00553434" w:rsidRDefault="00553434" w:rsidP="00621CE8">
      <w:pPr>
        <w:shd w:val="clear" w:color="auto" w:fill="FFFFFF"/>
        <w:ind w:firstLine="720"/>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Thời hiệu để người thừa kế yêu cầu chia di sản là 30 năm đối với bất động sản, 10 năm đối với động sản, kể từ thời điểm mở thừa kế.</w:t>
      </w:r>
    </w:p>
    <w:p w14:paraId="199D2DB3" w14:textId="77777777" w:rsidR="00553434" w:rsidRPr="00553434" w:rsidRDefault="00553434" w:rsidP="00621CE8">
      <w:pPr>
        <w:shd w:val="clear" w:color="auto" w:fill="FFFFFF"/>
        <w:ind w:firstLine="720"/>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Thời hiệu để người thừa kế yêu cầu xác nhận quyền thừa kế của mình hoặc bác bỏ quyền thừa kế của người khác là 10 năm, kể từ thời điểm mở thừa kế.</w:t>
      </w:r>
    </w:p>
    <w:p w14:paraId="3DEEEABE" w14:textId="77777777" w:rsidR="00553434" w:rsidRPr="00553434" w:rsidRDefault="00553434" w:rsidP="00621CE8">
      <w:pPr>
        <w:shd w:val="clear" w:color="auto" w:fill="FFFFFF"/>
        <w:ind w:firstLine="720"/>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Thời hiệu yêu cầu người thừa kế thực hiện nghĩa vụ về tài sản của người chết để lại là 03 năm, kể từ thời điểm mở thừa kế.</w:t>
      </w:r>
    </w:p>
    <w:p w14:paraId="11B061A4"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Như vậy, mốc thời gian để tính thời hiệu thừa kế là thời điểm mở thừa kế. Theo quy định tại khoản 1 Điều 611 của BLDS năm 2015 thì thời điểm mở thừa kế là thời điểm người có tài sản chết. Trường hợp Tòa án tuyên bố một người là đã chết thì thời điểm mở thừa kế là ngày được xác định tại khoản 2 Điều 71 của BLDS năm 2015.</w:t>
      </w:r>
    </w:p>
    <w:p w14:paraId="369E8DDF"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Hiện nay, về cách tính thời hiệu thừa kế đối với trường hợp mở thừa kế trước ngày 01/01/2017 (ngày BLDS năm 2015 có hiệu lực) có quan điểm cho rằng phải tính từ ngày mở thừa kế (người có tài sản chết) nhưng cũng có quan điểm cho rằng đối với các trường hợp mở thừa kế trức ngày 10/9/1990 thì thời hiệu thừa kế phải tính từ ngày 10/9/1990 theo quy định Pháp lệnh thừa kế năm 1990, BLDS năm 1995 và văn bản hướng dẫn liên quan.</w:t>
      </w:r>
    </w:p>
    <w:p w14:paraId="7BB56DD0" w14:textId="77777777" w:rsidR="00553434" w:rsidRPr="00553434" w:rsidRDefault="00553434" w:rsidP="00621CE8">
      <w:pPr>
        <w:shd w:val="clear" w:color="auto" w:fill="FFFFFF"/>
        <w:ind w:firstLine="720"/>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Nghiên cứu quy định của BLDS năm 2015 và văn bản hướng dẫn liên quan, tác giả thấy rằng:</w:t>
      </w:r>
    </w:p>
    <w:p w14:paraId="7A42C18A"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 Tại khoản 1 Điều 688 BLDS năm 2015 quy định như sau: “1. Đối với giao dịch dân sự được xác lập trước ngày Bộ luật này có hiệu lực thì việc áp dụng pháp luật được quy định như sau: </w:t>
      </w:r>
      <w:r w:rsidRPr="00840BBE">
        <w:rPr>
          <w:rFonts w:ascii="Times" w:hAnsi="Times" w:cs="Times New Roman"/>
          <w:b/>
          <w:bCs/>
          <w:i/>
          <w:iCs/>
          <w:color w:val="000000" w:themeColor="text1"/>
          <w:szCs w:val="26"/>
        </w:rPr>
        <w:t>d) Thời hiệu được áp dụng theo quy định của Bộ luật này</w:t>
      </w:r>
      <w:r w:rsidRPr="00553434">
        <w:rPr>
          <w:rFonts w:ascii="Times" w:hAnsi="Times" w:cs="Times New Roman"/>
          <w:color w:val="000000" w:themeColor="text1"/>
          <w:szCs w:val="26"/>
        </w:rPr>
        <w:t>.”</w:t>
      </w:r>
    </w:p>
    <w:p w14:paraId="6E07CA6F"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 Tại Tiểu mục 1 Mục III Công văn số 01/GĐ-TANDTC ngày 25/7/2016 của TANDTC giải đáp một số vấn đề về hình sự, tố tụng hình sự, tố tụng dân sự hướng dẫn: </w:t>
      </w:r>
      <w:r w:rsidRPr="00840BBE">
        <w:rPr>
          <w:rFonts w:ascii="Times" w:hAnsi="Times" w:cs="Times New Roman"/>
          <w:i/>
          <w:iCs/>
          <w:color w:val="000000" w:themeColor="text1"/>
          <w:szCs w:val="26"/>
        </w:rPr>
        <w:t>“… </w:t>
      </w:r>
      <w:r w:rsidRPr="00840BBE">
        <w:rPr>
          <w:rFonts w:ascii="Times" w:hAnsi="Times" w:cs="Times New Roman"/>
          <w:b/>
          <w:bCs/>
          <w:i/>
          <w:iCs/>
          <w:color w:val="000000" w:themeColor="text1"/>
          <w:szCs w:val="26"/>
        </w:rPr>
        <w:t>Kể từ ngày BLDS năm 2015 có hiệu lực thi hành, Tòa án áp dụng quy định tại Điều 623 BLDS năm 2015 để xác định thời hiệu đối với trường hợp thời điểm mở thừa kế trước ngày 01-01-2017</w:t>
      </w:r>
      <w:r w:rsidRPr="00840BBE">
        <w:rPr>
          <w:rFonts w:ascii="Times" w:hAnsi="Times" w:cs="Times New Roman"/>
          <w:i/>
          <w:iCs/>
          <w:color w:val="000000" w:themeColor="text1"/>
          <w:szCs w:val="26"/>
        </w:rPr>
        <w:t>…”</w:t>
      </w:r>
    </w:p>
    <w:p w14:paraId="3BEDF58B"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Tại khoản 3 Điều 7 Nghị quyết số 04/2017/NQ-HĐTP ngày 05/5/2017 của Hội đồng Thẩm phán TANDTC hướng dẫn: “Các trường hợp khác theo quy định của pháp luật" quy định tại điểm d khoản 3 Điều 192 BLTTDS năm 2015 là các trường hợp trong BLTTDS năm 2015 chưa quy định nhưng đã được quy định trong Nghị quyết này, các văn bản quy phạm pháp luật khác hoặc trong các điều ước quốc tế mà nước Cộng hòa xã hội chủ nghĩa Việt Nam là thành viên. “Các trường hợp khác theo quy định của pháp luật" quy định trong Nghị quyết này là:</w:t>
      </w:r>
    </w:p>
    <w:p w14:paraId="32F19AA8"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840BBE">
        <w:rPr>
          <w:rFonts w:ascii="Times" w:hAnsi="Times" w:cs="Times New Roman"/>
          <w:i/>
          <w:iCs/>
          <w:color w:val="000000" w:themeColor="text1"/>
          <w:szCs w:val="26"/>
        </w:rPr>
        <w:t>a) Đối với những vụ án dân sự tranh chấp về thừa kế tài sản mà trước ngày 01-01-2017, Tòa án đã trả lại đơn khởi kiện hoặc ra quyết định đình chỉ giải quyết vụ án và trả lại đơn khởi kiện vì lý do "thời hiệu khởi kiện đã hết" </w:t>
      </w:r>
      <w:r w:rsidRPr="00840BBE">
        <w:rPr>
          <w:rFonts w:ascii="Times" w:hAnsi="Times" w:cs="Times New Roman"/>
          <w:b/>
          <w:bCs/>
          <w:i/>
          <w:iCs/>
          <w:color w:val="000000" w:themeColor="text1"/>
          <w:szCs w:val="26"/>
        </w:rPr>
        <w:t>nhưng theo quy định tại khoản 1 Điều 623, điểm d khoản 1 Điều 688 Bộ luật Dân sự năm 2015 thời hiệu khởi kiện vụ án đó vẫn còn, thì người khởi kiện có quyền nộp đơn khởi kiện lại vụ án theo quy định tại điểm d khoản 1 Điều 688 Bộ luật Dân sự năm 2015</w:t>
      </w:r>
      <w:r w:rsidRPr="00840BBE">
        <w:rPr>
          <w:rFonts w:ascii="Times" w:hAnsi="Times" w:cs="Times New Roman"/>
          <w:i/>
          <w:iCs/>
          <w:color w:val="000000" w:themeColor="text1"/>
          <w:szCs w:val="26"/>
        </w:rPr>
        <w:t> và điểm d khoản 3 Điều 192 Bộ luật tố tụng dân sự năm 2015.</w:t>
      </w:r>
    </w:p>
    <w:p w14:paraId="79C6EB9B"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840BBE">
        <w:rPr>
          <w:rFonts w:ascii="Times" w:hAnsi="Times" w:cs="Times New Roman"/>
          <w:i/>
          <w:iCs/>
          <w:color w:val="000000" w:themeColor="text1"/>
          <w:szCs w:val="26"/>
        </w:rPr>
        <w:t>b) Đối với những vụ án dân sự chia tài sản chung là di sản thừa kế đã hết thời hạn 10 năm kể từ thời điểm mở thừa kế mà trước ngày 01-01-2017 Tòa án đã ra quyết định đình chỉ giải quyết vụ án và trả lại đơn khởi kiện vì chưa đủ điều kiện khởi kiện chia tài sản chung, </w:t>
      </w:r>
      <w:r w:rsidRPr="00840BBE">
        <w:rPr>
          <w:rFonts w:ascii="Times" w:hAnsi="Times" w:cs="Times New Roman"/>
          <w:b/>
          <w:bCs/>
          <w:i/>
          <w:iCs/>
          <w:color w:val="000000" w:themeColor="text1"/>
          <w:szCs w:val="26"/>
        </w:rPr>
        <w:t>nhưng theo quy định tại khoản 1 Điều 623, điểm d khoản 1 Điều 688 Bộ luật dân sự năm 2015 thời hiệu khởi kiện vụ án chia thừa kế đối với di sản thừa kế đó vẫn còn</w:t>
      </w:r>
      <w:r w:rsidRPr="00840BBE">
        <w:rPr>
          <w:rFonts w:ascii="Times" w:hAnsi="Times" w:cs="Times New Roman"/>
          <w:i/>
          <w:iCs/>
          <w:color w:val="000000" w:themeColor="text1"/>
          <w:szCs w:val="26"/>
        </w:rPr>
        <w:t>, </w:t>
      </w:r>
      <w:r w:rsidRPr="00840BBE">
        <w:rPr>
          <w:rFonts w:ascii="Times" w:hAnsi="Times" w:cs="Times New Roman"/>
          <w:b/>
          <w:bCs/>
          <w:i/>
          <w:iCs/>
          <w:color w:val="000000" w:themeColor="text1"/>
          <w:szCs w:val="26"/>
        </w:rPr>
        <w:t>thì người khởi kiện có quyền nộp đơn khởi kiện yêu cầu chia di sản thừa kế theo quy định tại điểm d khoản 1 Điều 688</w:t>
      </w:r>
      <w:r w:rsidRPr="00840BBE">
        <w:rPr>
          <w:rFonts w:ascii="Times" w:hAnsi="Times" w:cs="Times New Roman"/>
          <w:i/>
          <w:iCs/>
          <w:color w:val="000000" w:themeColor="text1"/>
          <w:szCs w:val="26"/>
        </w:rPr>
        <w:t>và điểm d khoản 3 Điều 192 Bộ luật tố tụng dân sự năm 2015 và Tòa án xem xét thụ lý, giải quyết theo thủ tục chung.</w:t>
      </w:r>
    </w:p>
    <w:p w14:paraId="5F498B93"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840BBE">
        <w:rPr>
          <w:rFonts w:ascii="Times" w:hAnsi="Times" w:cs="Times New Roman"/>
          <w:i/>
          <w:iCs/>
          <w:color w:val="000000" w:themeColor="text1"/>
          <w:szCs w:val="26"/>
        </w:rPr>
        <w:t>– </w:t>
      </w:r>
      <w:r w:rsidRPr="00553434">
        <w:rPr>
          <w:rFonts w:ascii="Times" w:hAnsi="Times" w:cs="Times New Roman"/>
          <w:color w:val="000000" w:themeColor="text1"/>
          <w:szCs w:val="26"/>
        </w:rPr>
        <w:t>Tại Mục I về dân sự Công văn số 01/GĐ-TANDTC ngày 05/01/2018 của TANDTC giải đáp một số vấn đề nghiệp vụ có hướng dẫn:</w:t>
      </w:r>
    </w:p>
    <w:p w14:paraId="237C6065"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840BBE">
        <w:rPr>
          <w:rFonts w:ascii="Times" w:hAnsi="Times" w:cs="Times New Roman"/>
          <w:i/>
          <w:iCs/>
          <w:color w:val="000000" w:themeColor="text1"/>
          <w:szCs w:val="26"/>
        </w:rPr>
        <w:t>“Kể từ ngày Bộ luật Dân sự năm 2015 có hiệu lực thi hành, theo quy định tại điểm d khoản 1 Điều 688 Bộ luật Dân sự năm 2015, khoản 4 Điều 4 Nghị quyết số 02/2016/NQ-HĐTP ngày 30-6-2016 của Hội đồng Thẩm phán Tòa án nhân dân tối cao hướng dẫn thi hành một số quy định của Nghị quyết số 103/2015/QH13 ngày 25-11-2015 của Quốc hội về việc thi hành Bộ luật Tố tụng dân sự và Nghị quyết số 104/2015/QH13 ngày 25-11-2015 của Quốc hội về việc thi hành Luật Tố tụng hành chính thì từ ngày 01-01-2017, Tòa án áp dụng khoản 1 Điều 623 Bộ luật Dân sự năm 2015 về thời hiệu thừa kế để thụ lý, giải quyết vụ án dân sự "Tranh chấp về thừa kế tài sản”. Theo đó, thời hiệu để người thừa kế yêu cầu chia di sản là 30 năm đối với bất động sản kể từ thời điểm mở thừa kế.</w:t>
      </w:r>
    </w:p>
    <w:p w14:paraId="758ABBEF"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840BBE">
        <w:rPr>
          <w:rFonts w:ascii="Times" w:hAnsi="Times" w:cs="Times New Roman"/>
          <w:i/>
          <w:iCs/>
          <w:color w:val="000000" w:themeColor="text1"/>
          <w:szCs w:val="26"/>
        </w:rPr>
        <w:t>Đối với trường hợp thừa kế mở trước ngày 10-9-1990 thì thời hiệu khởi kiện chia di sản thừa kế là bất động sản được thực hiện theo quy định tại Điều 36 của Pháp lệnh Thừa kế năm 1990 và hướng dẫn tại Nghị quyết số 02/HĐTP ngày 19-10-1990 của Hội đồng Thẩm phán Tòa án nhân dân tối cao hướng dẫn áp dụng một số quy định của Pháp lệnh Thừa kế, cụ thể là: thời hiệu khởi kiện được tính từ ngày 10-9-1990.</w:t>
      </w:r>
    </w:p>
    <w:p w14:paraId="6658B755"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840BBE">
        <w:rPr>
          <w:rFonts w:ascii="Times" w:hAnsi="Times" w:cs="Times New Roman"/>
          <w:i/>
          <w:iCs/>
          <w:color w:val="000000" w:themeColor="text1"/>
          <w:szCs w:val="26"/>
        </w:rPr>
        <w:t>Khi xác đ dẫn tại Nghị quởi kiện chia di sản thừa kế mà thời điểm mở thừa kế trước ngày 01-7-1991 và di sản là nhà ở thì thời gian từ ngày 01-7-1996 đến ngày 01-01-1999 không tính vào thkiện chia di sản thừa kế mà thời điểm mở thừa kế trước ngày 01-7 Nam định cư ở nước ngoài tham gia; thời gian từ ngày 01-7-1996 đến ngày 01-9-2006 không tính vào thời hiệu khởi kiện đối với trường hợp thừa kế có người Việt Nam định cư ở nước ngoài tham gia.”</w:t>
      </w:r>
    </w:p>
    <w:p w14:paraId="747E2D4A"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Quy định về thời hiệu thừa kế tại Điều 623 của BLDS năm 2015 là quy định mới so với quy định về thừa kế của BLDS năm 2005. Theo quy định tại Điều 645 của BLDS năm 2005, thời hiệu khởi kiện để người thừa kế yêu cầu chia di sản, xác nhận quyền thừa kế của mình hoặc bác bỏ quyền thừa kế của người khác là mười năm, kể từ thời điểm mở thừa kế. Thời hiệu khởi kiện để yêu cầu người thừa kế thực hiện nghĩa vụ về tài sản của người chết để lại là ba năm, kể từ thời điểm mở thừa kế.</w:t>
      </w:r>
    </w:p>
    <w:p w14:paraId="279C61ED" w14:textId="77777777" w:rsidR="00553434" w:rsidRPr="00553434" w:rsidRDefault="00553434" w:rsidP="00621CE8">
      <w:pPr>
        <w:shd w:val="clear" w:color="auto" w:fill="FFFFFF"/>
        <w:ind w:firstLine="720"/>
        <w:jc w:val="both"/>
        <w:textAlignment w:val="top"/>
        <w:rPr>
          <w:rFonts w:ascii="Times" w:hAnsi="Times" w:cs="Times New Roman"/>
          <w:color w:val="000000" w:themeColor="text1"/>
          <w:szCs w:val="26"/>
        </w:rPr>
      </w:pPr>
      <w:r w:rsidRPr="00840BBE">
        <w:rPr>
          <w:rFonts w:ascii="Times" w:hAnsi="Times" w:cs="Times New Roman"/>
          <w:b/>
          <w:bCs/>
          <w:color w:val="000000" w:themeColor="text1"/>
          <w:szCs w:val="26"/>
        </w:rPr>
        <w:t>2.</w:t>
      </w:r>
      <w:proofErr w:type="gramStart"/>
      <w:r w:rsidRPr="00840BBE">
        <w:rPr>
          <w:rFonts w:ascii="Times" w:hAnsi="Times" w:cs="Times New Roman"/>
          <w:b/>
          <w:bCs/>
          <w:color w:val="000000" w:themeColor="text1"/>
          <w:szCs w:val="26"/>
        </w:rPr>
        <w:t>2.Thời</w:t>
      </w:r>
      <w:proofErr w:type="gramEnd"/>
      <w:r w:rsidRPr="00840BBE">
        <w:rPr>
          <w:rFonts w:ascii="Times" w:hAnsi="Times" w:cs="Times New Roman"/>
          <w:b/>
          <w:bCs/>
          <w:color w:val="000000" w:themeColor="text1"/>
          <w:szCs w:val="26"/>
        </w:rPr>
        <w:t xml:space="preserve"> hiệu khởi kiện yêu cầu bồi thường thiệt hại</w:t>
      </w:r>
    </w:p>
    <w:p w14:paraId="35658642"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Theo quy định tại Điều 588 của BLDS năm 2015 thì thời hiệu khởi kiện yêu cầu bồi thường thiệt hại là 03 năm, kể từ ngày người có quyền yêu cầu biết hoặc phải biết quyền, lợi ích hợp pháp của mình bị xâm phạm.</w:t>
      </w:r>
    </w:p>
    <w:p w14:paraId="12DC5E8E"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Đây là điểm mới so với quy định của BLDS năm 2005. Theo quy định tại Điều 607 của BLDS năm 2005 thì thời hiệu khởi kiện yêu cầu bồi thường thiệt hại là 02 năm, kể từ ngày quyền và lợi ích hợp pháp của cá nhân, pháp nhân, các chủ thể khác bị xạm hại.</w:t>
      </w:r>
    </w:p>
    <w:p w14:paraId="2B24397D" w14:textId="77777777" w:rsidR="00553434" w:rsidRPr="00553434" w:rsidRDefault="00553434" w:rsidP="00621CE8">
      <w:pPr>
        <w:shd w:val="clear" w:color="auto" w:fill="FFFFFF"/>
        <w:ind w:firstLine="720"/>
        <w:jc w:val="both"/>
        <w:textAlignment w:val="top"/>
        <w:rPr>
          <w:rFonts w:ascii="Times" w:hAnsi="Times" w:cs="Times New Roman"/>
          <w:color w:val="000000" w:themeColor="text1"/>
          <w:szCs w:val="26"/>
        </w:rPr>
      </w:pPr>
      <w:r w:rsidRPr="00840BBE">
        <w:rPr>
          <w:rFonts w:ascii="Times" w:hAnsi="Times" w:cs="Times New Roman"/>
          <w:b/>
          <w:bCs/>
          <w:color w:val="000000" w:themeColor="text1"/>
          <w:szCs w:val="26"/>
        </w:rPr>
        <w:t>2.</w:t>
      </w:r>
      <w:proofErr w:type="gramStart"/>
      <w:r w:rsidRPr="00840BBE">
        <w:rPr>
          <w:rFonts w:ascii="Times" w:hAnsi="Times" w:cs="Times New Roman"/>
          <w:b/>
          <w:bCs/>
          <w:color w:val="000000" w:themeColor="text1"/>
          <w:szCs w:val="26"/>
        </w:rPr>
        <w:t>3.Thời</w:t>
      </w:r>
      <w:proofErr w:type="gramEnd"/>
      <w:r w:rsidRPr="00840BBE">
        <w:rPr>
          <w:rFonts w:ascii="Times" w:hAnsi="Times" w:cs="Times New Roman"/>
          <w:b/>
          <w:bCs/>
          <w:color w:val="000000" w:themeColor="text1"/>
          <w:szCs w:val="26"/>
        </w:rPr>
        <w:t xml:space="preserve"> hiệu yêu cầu Tòa án tuyên bố giao dịch vô hiệu</w:t>
      </w:r>
    </w:p>
    <w:p w14:paraId="27BE4A53"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Theo quy định tại khoản 1 Điều 132 của BLDS năm 2015 thì thời hiệu yêu cầu Tòa án tuyên bố giao dịch dân sự vô hiệu đối với: [1] giao dịch dân sự vô hiệu do người chưa thành niên, người mất năng lực hành vi dân sự, người có khó khăn trong nhận thức, làm chủ hành vi, người bị hạn chế năng lực hành vi dân sự xác lập, thực hiện;[2] giao dịch dân sự vô hiệu do bị nhầm lẫn; [3] giao dịch dân sự vô hiệu do bị lừa dối, đe dọa, cưỡng ép; [4] giao dịch dân sự vô hiệu do người xác lập không nhận thức và làm chủ được hành vi của mình và [5] giao dịch dân sự vô hiệu do không tuân thủ quy định về hình thức là 02 năm, kể từ ngày:</w:t>
      </w:r>
    </w:p>
    <w:p w14:paraId="4A362ACB"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 Người đại diện của người chưa thành niên, người mất năng lực hành vi dân sự, người có khó khăn trong nhận thức, làm chủ hành vi, người bị hạn chế năng lực hành vi dân sự biết hoặc phải biết người được đại diện tự mình xác lập, thực hiện giao dịch;</w:t>
      </w:r>
    </w:p>
    <w:p w14:paraId="1B148304"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 Người bị nhầm lẫn, bị lừa dối biết hoặc phải biết giao dịch được xác lập do bị nhầm lẫn, do bị lừa dối;</w:t>
      </w:r>
    </w:p>
    <w:p w14:paraId="7CF2FF0D"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 Người có hành vi đe dọa, cưỡng ép chấm dứt hành vi đe dọa, cưỡng ép;</w:t>
      </w:r>
    </w:p>
    <w:p w14:paraId="112F8452"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 Người không nhận thức và làm chủ được hành vi của mình xác lập giao dịch;</w:t>
      </w:r>
    </w:p>
    <w:p w14:paraId="66F3F529"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 Giao dịch dân sự được xác lập trong trường hợp giao dịch dân sự không tuân thủ quy định về hình thức.</w:t>
      </w:r>
    </w:p>
    <w:p w14:paraId="381108A7"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Đối với giao dịch dân sự vô hiệu do vi phạm điều cấm của luật, trái đạo đức xã hội; giao dịch dân sự vô hiệu do giả tạo thì thời hiệu yêu cầu Tòa án tuyên bố giao dịch dân sự vô hiệu không bị hạn chế.</w:t>
      </w:r>
    </w:p>
    <w:p w14:paraId="0085B195"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Đây là điểm mới so với quy định của BLDS năm 2005. Theo quy định tại Điều 136 của BLDS năm 2005 thì thời hiệu yêu cầu Toà án tuyên bố giao dịch dân sự vô hiệu đối vớ</w:t>
      </w:r>
      <w:r w:rsidR="00621CE8">
        <w:rPr>
          <w:rFonts w:ascii="Times" w:hAnsi="Times" w:cs="Times New Roman"/>
          <w:color w:val="000000" w:themeColor="text1"/>
          <w:szCs w:val="26"/>
        </w:rPr>
        <w:t xml:space="preserve">i: </w:t>
      </w:r>
      <w:r w:rsidRPr="00553434">
        <w:rPr>
          <w:rFonts w:ascii="Times" w:hAnsi="Times" w:cs="Times New Roman"/>
          <w:color w:val="000000" w:themeColor="text1"/>
          <w:szCs w:val="26"/>
        </w:rPr>
        <w:t>giao dịch dân sự vô hiệu do người chưa thành niên, người mất năng lực hành vi dân sự, người bị hạn chế năng lực hành vi dân sự xác lập, thực hiệ</w:t>
      </w:r>
      <w:r w:rsidR="00621CE8">
        <w:rPr>
          <w:rFonts w:ascii="Times" w:hAnsi="Times" w:cs="Times New Roman"/>
          <w:color w:val="000000" w:themeColor="text1"/>
          <w:szCs w:val="26"/>
        </w:rPr>
        <w:t>n;</w:t>
      </w:r>
      <w:r w:rsidRPr="00553434">
        <w:rPr>
          <w:rFonts w:ascii="Times" w:hAnsi="Times" w:cs="Times New Roman"/>
          <w:color w:val="000000" w:themeColor="text1"/>
          <w:szCs w:val="26"/>
        </w:rPr>
        <w:t xml:space="preserve"> giao dịch dân sự vô hiệu do bị nhầm lẫn; [3] giao dịch dân sự vô hiệu do bị lừa dối, đe dọ</w:t>
      </w:r>
      <w:r w:rsidR="00621CE8">
        <w:rPr>
          <w:rFonts w:ascii="Times" w:hAnsi="Times" w:cs="Times New Roman"/>
          <w:color w:val="000000" w:themeColor="text1"/>
          <w:szCs w:val="26"/>
        </w:rPr>
        <w:t>a;</w:t>
      </w:r>
      <w:r w:rsidRPr="00553434">
        <w:rPr>
          <w:rFonts w:ascii="Times" w:hAnsi="Times" w:cs="Times New Roman"/>
          <w:color w:val="000000" w:themeColor="text1"/>
          <w:szCs w:val="26"/>
        </w:rPr>
        <w:t>giao dịch dân sự vô hiệu do người xác lập không nhận thức và làm chủ được hành vi củ</w:t>
      </w:r>
      <w:r w:rsidR="00621CE8">
        <w:rPr>
          <w:rFonts w:ascii="Times" w:hAnsi="Times" w:cs="Times New Roman"/>
          <w:color w:val="000000" w:themeColor="text1"/>
          <w:szCs w:val="26"/>
        </w:rPr>
        <w:t>a mình;</w:t>
      </w:r>
      <w:r w:rsidRPr="00553434">
        <w:rPr>
          <w:rFonts w:ascii="Times" w:hAnsi="Times" w:cs="Times New Roman"/>
          <w:color w:val="000000" w:themeColor="text1"/>
          <w:szCs w:val="26"/>
        </w:rPr>
        <w:t xml:space="preserve"> giao dịch dân sự vô hiệu do không tuân thủ quy định về hình thức là hai năm, kể từ ngày giao dịch dân sự được xác lập. Đối với giao dịch dân sự vô hiệu do vi phạm điều cấm của pháp luật, trái đạo đức xã hội và giao dịch dân sự vô hiệu do giả tạo thì thời hiệu yêu cầu Toà án tuyên bố giao dịch dân sự vô hiệu không bị hạn chế.</w:t>
      </w:r>
    </w:p>
    <w:p w14:paraId="23FA5C79" w14:textId="77777777" w:rsidR="00553434" w:rsidRPr="00553434" w:rsidRDefault="00553434" w:rsidP="00621CE8">
      <w:pPr>
        <w:shd w:val="clear" w:color="auto" w:fill="FFFFFF"/>
        <w:ind w:firstLine="720"/>
        <w:jc w:val="both"/>
        <w:textAlignment w:val="top"/>
        <w:rPr>
          <w:rFonts w:ascii="Times" w:hAnsi="Times" w:cs="Times New Roman"/>
          <w:color w:val="000000" w:themeColor="text1"/>
          <w:szCs w:val="26"/>
        </w:rPr>
      </w:pPr>
      <w:r w:rsidRPr="00840BBE">
        <w:rPr>
          <w:rFonts w:ascii="Times" w:hAnsi="Times" w:cs="Times New Roman"/>
          <w:b/>
          <w:bCs/>
          <w:color w:val="000000" w:themeColor="text1"/>
          <w:szCs w:val="26"/>
        </w:rPr>
        <w:t>2.</w:t>
      </w:r>
      <w:proofErr w:type="gramStart"/>
      <w:r w:rsidRPr="00840BBE">
        <w:rPr>
          <w:rFonts w:ascii="Times" w:hAnsi="Times" w:cs="Times New Roman"/>
          <w:b/>
          <w:bCs/>
          <w:color w:val="000000" w:themeColor="text1"/>
          <w:szCs w:val="26"/>
        </w:rPr>
        <w:t>4.Thời</w:t>
      </w:r>
      <w:proofErr w:type="gramEnd"/>
      <w:r w:rsidRPr="00840BBE">
        <w:rPr>
          <w:rFonts w:ascii="Times" w:hAnsi="Times" w:cs="Times New Roman"/>
          <w:b/>
          <w:bCs/>
          <w:color w:val="000000" w:themeColor="text1"/>
          <w:szCs w:val="26"/>
        </w:rPr>
        <w:t xml:space="preserve"> hiệu khởi kiện để yêu cầu Tòa án giải quyết tranh chấp hợp đồng</w:t>
      </w:r>
    </w:p>
    <w:p w14:paraId="56BA6267"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Theo quy định tại Điều 429 của BLDS năm 2015 thì thời hiệu khởi kiện để yêu cầu Tòa án giải quyết tranh chấp hợp đồng là 03 năm, kể từ ngày người có quyền yêu cầu biết hoặc phải biết quyền và lợi ích hợp pháp của mình bị xâm phạm.</w:t>
      </w:r>
    </w:p>
    <w:p w14:paraId="475DE398"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Đây là điểm mới so với quy định của BLDS năm 2005. Theo quy định tại Điều 427 của BLDS năm 2005 thì thời hiệu khởi kiện để yêu cầu Tòa án giải quyết tranh chấp hợp đồng là 02 năm, kể từ ngày quyền và lợi ích hợp pháp của cá nhân, pháp nhân, các chủ thể khác bị xạm hại.</w:t>
      </w:r>
    </w:p>
    <w:p w14:paraId="77F11C07" w14:textId="77777777" w:rsidR="00553434" w:rsidRPr="00553434" w:rsidRDefault="00553434" w:rsidP="00621CE8">
      <w:pPr>
        <w:shd w:val="clear" w:color="auto" w:fill="FFFFFF"/>
        <w:ind w:firstLine="720"/>
        <w:jc w:val="both"/>
        <w:textAlignment w:val="top"/>
        <w:rPr>
          <w:rFonts w:ascii="Times" w:hAnsi="Times" w:cs="Times New Roman"/>
          <w:color w:val="000000" w:themeColor="text1"/>
          <w:szCs w:val="26"/>
        </w:rPr>
      </w:pPr>
      <w:bookmarkStart w:id="0" w:name="_GoBack"/>
      <w:bookmarkEnd w:id="0"/>
      <w:r w:rsidRPr="00840BBE">
        <w:rPr>
          <w:rFonts w:ascii="Times" w:hAnsi="Times" w:cs="Times New Roman"/>
          <w:b/>
          <w:bCs/>
          <w:color w:val="000000" w:themeColor="text1"/>
          <w:szCs w:val="26"/>
        </w:rPr>
        <w:t>2.5. Thời hiệu khởi kiện theo quy định của luật khác có liên quan</w:t>
      </w:r>
    </w:p>
    <w:p w14:paraId="77CD2244"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Theo hướng dẫn tại Điều 4 của Nghị quyết số 02/2016/NQ-HĐTP ngày 30/6/2016 của Hội đồng Thẩm phán TANDTC hướng dẫn về việc thi hành BLTTDS và Nghị quyết số 104/2015/QH13 ngày 25-11-2015 của Quốc hội về việc thi hành Luật tố tụng hành chính thì:</w:t>
      </w:r>
    </w:p>
    <w:p w14:paraId="13A86FEF"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w:t>
      </w:r>
      <w:r w:rsidRPr="00840BBE">
        <w:rPr>
          <w:rFonts w:ascii="Times" w:hAnsi="Times" w:cs="Times New Roman"/>
          <w:i/>
          <w:iCs/>
          <w:color w:val="000000" w:themeColor="text1"/>
          <w:szCs w:val="26"/>
        </w:rPr>
        <w:t>Khi thụ lý, giải quyết vụ việc dân sự, hôn nhân và gia đình, kinh doanh, thương mại, lao động, vụ án hành chính thì cần lưu ý như sau: … Từ ngày 01-01-2017, Tòa án áp dụng quy định của Bộ luật tố tụng dân sự số 92/2015/QH13, Bộ luật dân sự số 91/2015/QH13 </w:t>
      </w:r>
      <w:r w:rsidRPr="00840BBE">
        <w:rPr>
          <w:rFonts w:ascii="Times" w:hAnsi="Times" w:cs="Times New Roman"/>
          <w:b/>
          <w:bCs/>
          <w:i/>
          <w:iCs/>
          <w:color w:val="000000" w:themeColor="text1"/>
          <w:szCs w:val="26"/>
        </w:rPr>
        <w:t>và luật khác có liên quan về thời hiệu khởi kiện</w:t>
      </w:r>
      <w:r w:rsidRPr="00840BBE">
        <w:rPr>
          <w:rFonts w:ascii="Times" w:hAnsi="Times" w:cs="Times New Roman"/>
          <w:i/>
          <w:iCs/>
          <w:color w:val="000000" w:themeColor="text1"/>
          <w:szCs w:val="26"/>
        </w:rPr>
        <w:t>, thời hiệu yêu cầu để thụ lý, giải quyết vụ việc dân sự, hôn nhân và gia đình, kinh doanh, thương mại, lao động</w:t>
      </w:r>
      <w:r w:rsidRPr="00553434">
        <w:rPr>
          <w:rFonts w:ascii="Times" w:hAnsi="Times" w:cs="Times New Roman"/>
          <w:color w:val="000000" w:themeColor="text1"/>
          <w:szCs w:val="26"/>
        </w:rPr>
        <w:t>”.</w:t>
      </w:r>
    </w:p>
    <w:p w14:paraId="3FDAE696"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Như vậy, đối với các tranh chấp dân sự mà có quy định riêng thì thời hiệu khởi kiện áp dụng theo luật chuyên ngành. Có nhiều luật khác quy định về thời hiệu khởi kiện, tác giả liệt kêthời hiệu khỏi kiện một số tranh chấp dân sự cụ thể như sau:</w:t>
      </w:r>
    </w:p>
    <w:p w14:paraId="4BCCDC43"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 Yêu cầu Nhà nước bồi thường: 03 năm, kể từ ngày người có quyền yêu cầu bồi thường quy định tại các khoản 1, 2 và 3 Điều 5 của Luật trách nhiệm bồi thường nhà nước 2017 nhận được văn bản làm căn cứ yêu cầu bồi thường, trừ trường hợp quy định tại khoản 2 Điều 52 của Luật Trách nhiệm bồi thường của Nhà nước 2017 và trường hợp yêu cầu phục hồi danh dự (Điều 6 Luật Trách nhiệm bồi thường của Nhà nước 2017).</w:t>
      </w:r>
    </w:p>
    <w:p w14:paraId="0D2AD308"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 Khởi kiện đòi bồi thường do sản phẩm, hàng hóa không bảo đảm chất lượng gây thiệt hại cho người, động vật, thực vật, tài sản, môi trường: 02 năm, kể từ thời điểm các bên được thông báo về thiệt hại với điều kiện thiệt hại xảy ra trong thời hạn sử dụng của sản phẩm, hàng hóa có ghi hạn sử dụng và 5 năm kể từ ngày giao hàng đối với sản phẩm, hàng hóa không ghi hạn sử dụng (Điều 56 Luật Chất lượng sản phẩm hàng hóa 2007).</w:t>
      </w:r>
    </w:p>
    <w:p w14:paraId="3EEE8178"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 Khởi kiện người chấp nhận, người phát hành, người ký phát, người bảo lãnh cho người bị ký phát trong trường hợp người thụ hưởng không xuất trình công cụ chuyển nhượng để thanh toán đúng hạn theo quy định tại Điều 43 và Điều 69 của Luật Các công cụ chuyển nhượng 2005 hoặc không gửi thông báo về việc công cụ chuyển nhượng bị từ chối chấp nhận hoặc bị từ chối thanh toán trong thời hạn quy định tại Điều 50 của Luật Các công cụ chuyển nhượng 2005: 02 năm, kể từ ngày ký phát công cụ chuyển nhượng (Điều 78 Luật Các công cụ chuyển nhượng 2005).</w:t>
      </w:r>
    </w:p>
    <w:p w14:paraId="5EE9AED6"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 Khởi kiện người ký phát, người phát hành, người chuyển nhượng trước mình, người bảo lãnh, người chấp nhận về số tiền quy định tại Điều 52 của Luật Các công cụ chuyển nhượng 2005 đối với người có liên quan bị khởi kiện theo quy định tại Điều 76 của Luật Các công cụ chuyển nhượng 2005 có quyền: 02 năm, Kể từ ngày người có liên quan này hoàn thành nghĩa vụ thanh toán công cụ chuyển nhượng (Điều 78 Luật Các công cụ chuyển nhượng 2005)</w:t>
      </w:r>
    </w:p>
    <w:p w14:paraId="45E52434"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 Khởi kiện người ký phát, người phát hành, người bảo lãnh, người chuyển nhượng, người chấp nhận yêu cầu thanh toán số tiền quy định tại Điều 52 của Luật Các công cụ chuyển nhượng 2005 đối với người thụ hưởng: 03 năm, kể từ ngày công cụ chuyển nhượng bị từ chối chấp nhận hoặc bị từ chối thanh toán (Điều 78 Luật Các công cụ chuyển nhượng 2005).</w:t>
      </w:r>
    </w:p>
    <w:p w14:paraId="02AABE47"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 Khởi kiện yêu cầu bồi thường thiệt hại đối với người thứ ba ở mặt đất: 02 năm, kể từ ngày phát sinh sự kiện gây thiệt hại (Điều 186 Luật Hàng không dân dụng Việt Nam 2006).</w:t>
      </w:r>
    </w:p>
    <w:p w14:paraId="6B526608"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 Khởi kiện về trách nhiệm bồi thường thiệt hại của người vận chuyển đối với thiệt hại xảy ra cho hành khách, hành lý, hàng hóa: 02 năm, kể từ ngày tàu bay đến địa điểm đến, ngày tàu bay phải đến địa điểm đến hoặc từ ngày việc vận chuyển bị chấm dứt, tùy thuộc vào thời điểm nào muộn nhất (Điều 174 Luật Hàng không dân dụng Việt Nam 2006).</w:t>
      </w:r>
    </w:p>
    <w:p w14:paraId="5321429C"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 Yêu cầu giải quyết tranh chấp về khám bệnh, chữa bệnh: 05 năm, kể từ khi sự việc xảy ra (khoản 3 Điều 80 Luật Khám chữa bệnh 2009).</w:t>
      </w:r>
    </w:p>
    <w:p w14:paraId="3E053543"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 Khởi kiện về hợp đồng bảo hiểm: 03 năm, kể từ thời điểm phát sinh tranh chấp (Điều 30 Luật Kinh doanh bảo hiểm 2000, sửa đổi bổ sung năm 2010).</w:t>
      </w:r>
    </w:p>
    <w:p w14:paraId="68D915F7"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Khởi kiện liên quan đến hợp đồng bảo hiểm hàng hải: 02 năm, kể từ ngày phát sinh tranh chấp (Điều 336 Bộ luật hàng hải 2015). – Khởi kiện đòi bồi thường tổn thất do hành khách chết, bị thương hoặc tổn hại khác về sức khỏe và mất mát, hư hỏng hành lý: 02 năm từ ngày hành khách rời tàu (trường hợp hành khách bị thương); 02 năm từ ngày lẽ ra hành khách rời tàu (trường hợp hành khách chết trong thời gian vận chuyển); 02 năm từ ngày người đó chết, nhưng không được quá 03 năm kể từ ngày rời tàu (trường hợp hành khách bị thương trong quá trình vận chuyển dẫn đến hậu quả hành khách đó chết sau khi rời tàu); 02 năm từ ngày hành khách rời tàu hoặc ngày lẽ ra hành khách rời tàu, tùy thuộc vào thời điểm nào muộn hơn (trường hợp mất mát, hư hỏng hành lý) (Điều 214 Bộ luật Hàng hải 2015)</w:t>
      </w:r>
    </w:p>
    <w:p w14:paraId="6B2CA1A2" w14:textId="77777777" w:rsidR="00553434" w:rsidRPr="00553434" w:rsidRDefault="00553434" w:rsidP="00553434">
      <w:pPr>
        <w:shd w:val="clear" w:color="auto" w:fill="FFFFFF"/>
        <w:jc w:val="both"/>
        <w:textAlignment w:val="top"/>
        <w:rPr>
          <w:rFonts w:ascii="Times" w:hAnsi="Times" w:cs="Times New Roman"/>
          <w:color w:val="000000" w:themeColor="text1"/>
          <w:szCs w:val="26"/>
        </w:rPr>
      </w:pPr>
      <w:r w:rsidRPr="00553434">
        <w:rPr>
          <w:rFonts w:ascii="Times" w:hAnsi="Times" w:cs="Times New Roman"/>
          <w:color w:val="000000" w:themeColor="text1"/>
          <w:szCs w:val="26"/>
        </w:rPr>
        <w:t>– Khởi kiện về tai nạn đâm va: 02 năm, kể từ ngày xảy ra tai nạn (Điều 290 Bộ luật Hàng hải 2015</w:t>
      </w:r>
      <w:r w:rsidRPr="00553434">
        <w:rPr>
          <w:rFonts w:ascii="Times" w:hAnsi="Times" w:cs="Times New Roman"/>
          <w:color w:val="000000" w:themeColor="text1"/>
          <w:szCs w:val="26"/>
        </w:rPr>
        <w:t>).</w:t>
      </w:r>
    </w:p>
    <w:p w14:paraId="2A41BC30" w14:textId="77777777" w:rsidR="00E75F82" w:rsidRPr="00553434" w:rsidRDefault="00E75F82">
      <w:pPr>
        <w:rPr>
          <w:color w:val="000000" w:themeColor="text1"/>
        </w:rPr>
      </w:pPr>
    </w:p>
    <w:sectPr w:rsidR="00E75F82" w:rsidRPr="00553434" w:rsidSect="009D4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hideSpellingError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34"/>
    <w:rsid w:val="00553434"/>
    <w:rsid w:val="00621CE8"/>
    <w:rsid w:val="00840BBE"/>
    <w:rsid w:val="009842FD"/>
    <w:rsid w:val="009D48E8"/>
    <w:rsid w:val="00E7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8DA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alibri"/>
        <w:color w:val="000000"/>
        <w:sz w:val="26"/>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553434"/>
    <w:pPr>
      <w:spacing w:before="100" w:beforeAutospacing="1" w:after="100" w:afterAutospacing="1"/>
      <w:outlineLvl w:val="1"/>
    </w:pPr>
    <w:rPr>
      <w:rFonts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3434"/>
    <w:rPr>
      <w:rFonts w:cs="Times New Roman"/>
      <w:b/>
      <w:bCs/>
      <w:color w:val="auto"/>
      <w:sz w:val="36"/>
      <w:szCs w:val="36"/>
    </w:rPr>
  </w:style>
  <w:style w:type="character" w:styleId="Hyperlink">
    <w:name w:val="Hyperlink"/>
    <w:basedOn w:val="DefaultParagraphFont"/>
    <w:uiPriority w:val="99"/>
    <w:semiHidden/>
    <w:unhideWhenUsed/>
    <w:rsid w:val="00553434"/>
    <w:rPr>
      <w:color w:val="0000FF"/>
      <w:u w:val="single"/>
    </w:rPr>
  </w:style>
  <w:style w:type="character" w:customStyle="1" w:styleId="postdate">
    <w:name w:val="postdate"/>
    <w:basedOn w:val="DefaultParagraphFont"/>
    <w:rsid w:val="00553434"/>
  </w:style>
  <w:style w:type="paragraph" w:styleId="NormalWeb">
    <w:name w:val="Normal (Web)"/>
    <w:basedOn w:val="Normal"/>
    <w:uiPriority w:val="99"/>
    <w:semiHidden/>
    <w:unhideWhenUsed/>
    <w:rsid w:val="00553434"/>
    <w:pPr>
      <w:spacing w:before="100" w:beforeAutospacing="1" w:after="100" w:afterAutospacing="1"/>
    </w:pPr>
    <w:rPr>
      <w:rFonts w:cs="Times New Roman"/>
      <w:color w:val="auto"/>
      <w:sz w:val="24"/>
      <w:szCs w:val="24"/>
    </w:rPr>
  </w:style>
  <w:style w:type="character" w:styleId="Strong">
    <w:name w:val="Strong"/>
    <w:basedOn w:val="DefaultParagraphFont"/>
    <w:uiPriority w:val="22"/>
    <w:qFormat/>
    <w:rsid w:val="00553434"/>
    <w:rPr>
      <w:b/>
      <w:bCs/>
    </w:rPr>
  </w:style>
  <w:style w:type="character" w:styleId="Emphasis">
    <w:name w:val="Emphasis"/>
    <w:basedOn w:val="DefaultParagraphFont"/>
    <w:uiPriority w:val="20"/>
    <w:qFormat/>
    <w:rsid w:val="005534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846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thongtinphapluatdansu.edu.vn/2018/02/09/thoi-hieu-khoi-kien-vu-an-dan-su/" TargetMode="External"/><Relationship Id="rId5" Type="http://schemas.openxmlformats.org/officeDocument/2006/relationships/hyperlink" Target="https://thongtinphapluatdansu.edu.vn/2018/02/09/thoi-hieu-khoi-kien-vu-an-dan-su/thongtinphapluatdansu.edu.vn" TargetMode="External"/><Relationship Id="rId6" Type="http://schemas.openxmlformats.org/officeDocument/2006/relationships/hyperlink" Target="https://thongtinphapluatdansu.edu.vn/?s=%22D%C6%AF%C6%A0NG+T%E1%BA%A4N+THANH%2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2880</Words>
  <Characters>16417</Characters>
  <Application>Microsoft Macintosh Word</Application>
  <DocSecurity>0</DocSecurity>
  <Lines>136</Lines>
  <Paragraphs>38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THỜI HIỆU KHỞI KIỆN VỤ ÁN DÂN SỰ</vt:lpstr>
    </vt:vector>
  </TitlesOfParts>
  <LinksUpToDate>false</LinksUpToDate>
  <CharactersWithSpaces>19259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Quyen Pham</dc:creator>
  <cp:keywords/>
  <dc:description/>
  <cp:lastModifiedBy>Quyen Pham</cp:lastModifiedBy>
  <cp:revision>1</cp:revision>
  <dcterms:created xsi:type="dcterms:W3CDTF">2019-04-18T11:39:00Z</dcterms:created>
  <dcterms:modified xsi:type="dcterms:W3CDTF">2019-04-18T11:47:00Z</dcterms:modified>
</cp:coreProperties>
</file>