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E6" w:rsidRDefault="001133E6" w:rsidP="001133E6">
      <w:pPr>
        <w:pStyle w:val="ListParagraph"/>
        <w:spacing w:line="360" w:lineRule="auto"/>
        <w:ind w:left="0" w:firstLine="44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r w:rsidRPr="001666FD">
        <w:rPr>
          <w:rFonts w:ascii="Times New Roman" w:hAnsi="Times New Roman" w:cs="Times New Roman"/>
          <w:b/>
          <w:sz w:val="28"/>
          <w:szCs w:val="28"/>
          <w:lang w:val="vi-VN"/>
        </w:rPr>
        <w:t>HOẠT ĐỘNG TƯ VẤN CHỨNG KHOÁN CHO NHÀ ĐẦU TƯ</w:t>
      </w:r>
    </w:p>
    <w:bookmarkEnd w:id="0"/>
    <w:p w:rsidR="001133E6" w:rsidRDefault="001133E6" w:rsidP="001133E6">
      <w:pPr>
        <w:pStyle w:val="ListParagraph"/>
        <w:spacing w:line="360" w:lineRule="auto"/>
        <w:ind w:left="0" w:firstLine="446"/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Hoàng Thị Quyên</w:t>
      </w:r>
    </w:p>
    <w:p w:rsidR="001133E6" w:rsidRPr="00D12AD5" w:rsidRDefault="001133E6" w:rsidP="001133E6">
      <w:pPr>
        <w:spacing w:line="360" w:lineRule="auto"/>
        <w:ind w:firstLine="562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666FD">
        <w:rPr>
          <w:rFonts w:ascii="Times New Roman" w:hAnsi="Times New Roman" w:cs="Times New Roman"/>
          <w:b/>
          <w:sz w:val="28"/>
          <w:szCs w:val="28"/>
        </w:rPr>
        <w:t>1.2</w:t>
      </w:r>
      <w:proofErr w:type="gramStart"/>
      <w:r w:rsidRPr="001666FD">
        <w:rPr>
          <w:rFonts w:ascii="Times New Roman" w:hAnsi="Times New Roman" w:cs="Times New Roman"/>
          <w:b/>
          <w:sz w:val="28"/>
          <w:szCs w:val="28"/>
        </w:rPr>
        <w:t>.</w:t>
      </w:r>
      <w:r w:rsidRPr="001666FD">
        <w:rPr>
          <w:rFonts w:ascii="Times New Roman" w:hAnsi="Times New Roman" w:cs="Times New Roman"/>
          <w:b/>
          <w:sz w:val="28"/>
          <w:szCs w:val="28"/>
          <w:lang w:val="vi-VN"/>
        </w:rPr>
        <w:t>Pháp</w:t>
      </w:r>
      <w:proofErr w:type="gramEnd"/>
      <w:r w:rsidRPr="001666F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luật về hoạt động tư vấn chứng khoán cho nhà đầu tư</w:t>
      </w:r>
    </w:p>
    <w:p w:rsidR="001133E6" w:rsidRPr="001666FD" w:rsidRDefault="001133E6" w:rsidP="001133E6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khuyến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133E6" w:rsidRPr="001666FD" w:rsidRDefault="001133E6" w:rsidP="001133E6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thù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cuối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bởi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bởi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tín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ngân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độc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tín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tuy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độc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nó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33E6" w:rsidRPr="001666FD" w:rsidRDefault="001133E6" w:rsidP="001133E6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Ở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đổ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thiếu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thiếu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Ngược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coi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Dù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nó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đâu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đòi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đòi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tiềm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năng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lãnh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33E6" w:rsidRPr="001666FD" w:rsidRDefault="001133E6" w:rsidP="001133E6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Theo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"https://thukyluat.vn/vb/thong-tu-212-2012-tt-btc-huong-dan-thanh-lap-to-chuc-hoat-dong-cong-ty-quan-ly-27cb8.html" \l "dieu_36-5" \t "_Blank" </w:instrText>
      </w:r>
      <w:r>
        <w:fldChar w:fldCharType="separate"/>
      </w:r>
      <w:r w:rsidRPr="001666FD">
        <w:rPr>
          <w:rFonts w:ascii="Times New Roman" w:eastAsia="Times New Roman" w:hAnsi="Times New Roman" w:cs="Times New Roman"/>
          <w:color w:val="333333"/>
          <w:sz w:val="28"/>
          <w:szCs w:val="28"/>
        </w:rPr>
        <w:t>Khoản</w:t>
      </w:r>
      <w:proofErr w:type="spellEnd"/>
      <w:r w:rsidRPr="001666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 </w:t>
      </w:r>
      <w:proofErr w:type="spellStart"/>
      <w:r w:rsidRPr="001666FD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1666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36 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hyperlink r:id="rId5" w:anchor="dieu_36-5" w:tgtFrame="_blank" w:tooltip="Khoản 5 Điều 36 Thông tư 212/2012/TT-BTC" w:history="1">
        <w:r w:rsidRPr="001666FD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Thông</w:t>
        </w:r>
        <w:proofErr w:type="spellEnd"/>
        <w:r w:rsidRPr="001666FD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 xml:space="preserve"> </w:t>
        </w:r>
        <w:proofErr w:type="spellStart"/>
        <w:r w:rsidRPr="001666FD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tư</w:t>
        </w:r>
        <w:proofErr w:type="spellEnd"/>
        <w:r w:rsidRPr="001666FD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 xml:space="preserve"> 212/2012/TT-BTC</w:t>
        </w:r>
      </w:hyperlink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quỹ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quỹ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33E6" w:rsidRPr="001666FD" w:rsidRDefault="001133E6" w:rsidP="001133E6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33E6" w:rsidRPr="001666FD" w:rsidRDefault="001133E6" w:rsidP="001133E6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vay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mượn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quỹ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33E6" w:rsidRPr="001666FD" w:rsidRDefault="001133E6" w:rsidP="001133E6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tin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đồn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sai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lệch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sai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khuếch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nhầm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lôi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kéo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xúi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giục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dụ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dỗ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mời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chào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khả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nhầm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nhuận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rủi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33E6" w:rsidRPr="001666FD" w:rsidRDefault="001133E6" w:rsidP="001133E6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tặng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quà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ích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mời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chào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dụ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dỗ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đòi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quỹ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thù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lao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ích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mời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chào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33E6" w:rsidRPr="001666FD" w:rsidRDefault="001133E6" w:rsidP="001133E6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trừ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thác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quỹ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33E6" w:rsidRPr="001666FD" w:rsidRDefault="001133E6" w:rsidP="001133E6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lai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trừ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proofErr w:type="gram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cố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thỏa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nhuận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lỗ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6FD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</w:p>
    <w:p w:rsidR="00FB2391" w:rsidRDefault="00FB2391"/>
    <w:sectPr w:rsidR="00FB2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E6"/>
    <w:rsid w:val="001133E6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kyluat.vn/vb/thong-tu-212-2012-tt-btc-huong-dan-thanh-lap-to-chuc-hoat-dong-cong-ty-quan-ly-27cb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2019-04-15T02:31:00Z</dcterms:created>
  <dcterms:modified xsi:type="dcterms:W3CDTF">2019-04-15T02:32:00Z</dcterms:modified>
</cp:coreProperties>
</file>