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D9" w:rsidRPr="00486D2B" w:rsidRDefault="003840D9" w:rsidP="003840D9">
      <w:pPr>
        <w:spacing w:line="360" w:lineRule="auto"/>
        <w:jc w:val="center"/>
        <w:rPr>
          <w:b/>
          <w:sz w:val="28"/>
          <w:szCs w:val="28"/>
        </w:rPr>
      </w:pPr>
      <w:r w:rsidRPr="00486D2B">
        <w:rPr>
          <w:b/>
          <w:sz w:val="28"/>
          <w:szCs w:val="28"/>
        </w:rPr>
        <w:t>QUYỀN HIẾN XÁC VÀ BỘ PHẬN CƠ THỂ</w:t>
      </w:r>
      <w:r>
        <w:rPr>
          <w:b/>
          <w:sz w:val="28"/>
          <w:szCs w:val="28"/>
        </w:rPr>
        <w:t xml:space="preserve"> - Phần 2</w:t>
      </w:r>
    </w:p>
    <w:p w:rsidR="003840D9" w:rsidRDefault="003840D9" w:rsidP="003840D9">
      <w:pPr>
        <w:spacing w:line="360" w:lineRule="auto"/>
        <w:jc w:val="right"/>
        <w:rPr>
          <w:b/>
          <w:sz w:val="28"/>
          <w:szCs w:val="28"/>
        </w:rPr>
      </w:pPr>
      <w:r>
        <w:rPr>
          <w:b/>
          <w:sz w:val="28"/>
          <w:szCs w:val="28"/>
        </w:rPr>
        <w:t xml:space="preserve">ThS. </w:t>
      </w:r>
      <w:r w:rsidRPr="00486D2B">
        <w:rPr>
          <w:b/>
          <w:sz w:val="28"/>
          <w:szCs w:val="28"/>
        </w:rPr>
        <w:t>Nguyễn Thị Thu Na</w:t>
      </w:r>
    </w:p>
    <w:p w:rsidR="003840D9" w:rsidRPr="00486D2B" w:rsidRDefault="003840D9" w:rsidP="003840D9">
      <w:pPr>
        <w:spacing w:line="360" w:lineRule="auto"/>
        <w:jc w:val="right"/>
        <w:rPr>
          <w:b/>
          <w:sz w:val="28"/>
          <w:szCs w:val="28"/>
        </w:rPr>
      </w:pPr>
    </w:p>
    <w:p w:rsidR="003840D9" w:rsidRPr="00486D2B" w:rsidRDefault="003840D9" w:rsidP="003840D9">
      <w:pPr>
        <w:spacing w:line="360" w:lineRule="auto"/>
        <w:jc w:val="both"/>
        <w:rPr>
          <w:b/>
          <w:sz w:val="28"/>
          <w:szCs w:val="28"/>
        </w:rPr>
      </w:pPr>
      <w:r>
        <w:rPr>
          <w:b/>
          <w:sz w:val="28"/>
          <w:szCs w:val="28"/>
        </w:rPr>
        <w:t xml:space="preserve">2. </w:t>
      </w:r>
      <w:r w:rsidRPr="00486D2B">
        <w:rPr>
          <w:b/>
          <w:sz w:val="28"/>
          <w:szCs w:val="28"/>
        </w:rPr>
        <w:t>Một số đề xuất hoàn thiện pháp luật về Quyền hiến xác, bộ phận cơ thể</w:t>
      </w:r>
    </w:p>
    <w:p w:rsidR="003840D9" w:rsidRPr="00486D2B" w:rsidRDefault="003840D9" w:rsidP="003840D9">
      <w:pPr>
        <w:tabs>
          <w:tab w:val="left" w:pos="1185"/>
        </w:tabs>
        <w:spacing w:line="360" w:lineRule="auto"/>
        <w:ind w:firstLine="720"/>
        <w:jc w:val="both"/>
        <w:rPr>
          <w:color w:val="000000"/>
          <w:sz w:val="28"/>
          <w:szCs w:val="28"/>
        </w:rPr>
      </w:pPr>
      <w:r w:rsidRPr="00486D2B">
        <w:rPr>
          <w:rStyle w:val="apple-converted-space"/>
          <w:color w:val="000000"/>
          <w:sz w:val="28"/>
          <w:szCs w:val="28"/>
        </w:rPr>
        <w:t>Một là, </w:t>
      </w:r>
      <w:r w:rsidRPr="00486D2B">
        <w:rPr>
          <w:color w:val="000000"/>
          <w:sz w:val="28"/>
          <w:szCs w:val="28"/>
        </w:rPr>
        <w:t>về các nguyên tắc hiến, lấy mô, bộ phận cơ thể thì việc bảo đảm an toàn sức khỏe, tính mạng, tâm lý cho người hiến mô, bộ phận cơ thể khi còn sống đóng vai trò quan trọng, thậm chí việc thực hiện vấn đề này có vai trò quyết định đến số lượng người tham gia hiến mô, bộ phận cơ thể khi còn sống. Ở nước ta về quy trình thủ tục lấy mô, bộ phận cơ thể được quy định khá chặt chẽ, tuy nhiên cần quy định vấn đề bảo đảm sức khỏe, tính mạng và tâm lý trở thành một nguyên tắc của luật là cần thiết. Pháp luật Việt Nam nên quy định cụ thể bảo đảm an toàn y tế là một nguyên tắc trong hiến, lấy ghép mô, bộ phận cơ thể người.</w:t>
      </w:r>
    </w:p>
    <w:p w:rsidR="003840D9" w:rsidRPr="00486D2B" w:rsidRDefault="003840D9" w:rsidP="003840D9">
      <w:pPr>
        <w:pStyle w:val="NormalWeb"/>
        <w:spacing w:before="0" w:beforeAutospacing="0" w:after="0" w:afterAutospacing="0" w:line="360" w:lineRule="auto"/>
        <w:ind w:firstLine="851"/>
        <w:jc w:val="both"/>
        <w:rPr>
          <w:color w:val="000000"/>
          <w:sz w:val="28"/>
          <w:szCs w:val="28"/>
        </w:rPr>
      </w:pPr>
      <w:r w:rsidRPr="00486D2B">
        <w:rPr>
          <w:rStyle w:val="Emphasis"/>
          <w:i w:val="0"/>
          <w:iCs w:val="0"/>
          <w:color w:val="000000"/>
          <w:sz w:val="28"/>
          <w:szCs w:val="28"/>
        </w:rPr>
        <w:t>Hai là,</w:t>
      </w:r>
      <w:r w:rsidRPr="00486D2B">
        <w:rPr>
          <w:rStyle w:val="apple-converted-space"/>
          <w:color w:val="000000"/>
          <w:sz w:val="28"/>
          <w:szCs w:val="28"/>
        </w:rPr>
        <w:t> </w:t>
      </w:r>
      <w:r w:rsidRPr="00486D2B">
        <w:rPr>
          <w:color w:val="000000"/>
          <w:sz w:val="28"/>
          <w:szCs w:val="28"/>
        </w:rPr>
        <w:t xml:space="preserve">về cơ chế đồng ý trong hiến mô, bộ phận cơ thể người. Pháp luật hiện hành của chúng ta quy định việc hiến mô, bộ phận cơ thể khi còn sống cũng như sau khi chết theo cơ chế chủ động đồng ý (chủ động đăng ký hiến bằng văn bản, nếu không đăng ý hiến thì con như người đó không đồng y hiến). Nghiên cứu quy định các quy định pháp luật nước ngoài về cơ chế suy đoán sự đồng ý ở Tây Ban Nha, ở một số nước Bắc Âu hay ở Pháp, chúng ta thấy những nước thực hiện theo cơ chế này rất hiệu quả lượng người hiến mô tạng nhiều hơn hẳn so với các nước theo cơ chế suy đoán sự đồng ý. Hơn nữa nhiều nước trên thế giới đã quy định theo cơ chế chủ động đồng ý cũng đang vận động cho việc chuyển sang cơ chế suy đoán sự đồng ý hiến, đặc biệt là hiến sau khi chết, bởi chúng ta thấy đa phần mô tạng phục vụ mục đích chữa bệnh ở các nước phát triển được lấy từ người chết hiến tặng. Hơn nữa ở các nước này, để tránh việc trái với ý nguyện của người hiến trước khi chết, cơ sở y tế có thẩm quyền còn trao đổi lại với gia đình người không đăng ký từ chối hiến về mong muốn, ý nguyện của người chết về có phản đối hay không việc hiến mô, bộ phận cơ thể, nếu mà họ không đăng ký từ chối hiến nhưng người thân thích của họ xác nhận là người chết đó phản đối việc hiến thì cơ sở y tế cũng không tiến hành lấy mô, </w:t>
      </w:r>
      <w:r w:rsidRPr="00486D2B">
        <w:rPr>
          <w:color w:val="000000"/>
          <w:sz w:val="28"/>
          <w:szCs w:val="28"/>
        </w:rPr>
        <w:lastRenderedPageBreak/>
        <w:t>bộ phận cơ thể người. Do vậy việc nghiên cứu quy định cơ chế suy đoán sự đồng ý là cần thiết.</w:t>
      </w:r>
    </w:p>
    <w:p w:rsidR="003840D9" w:rsidRPr="00486D2B" w:rsidRDefault="003840D9" w:rsidP="003840D9">
      <w:pPr>
        <w:pStyle w:val="NormalWeb"/>
        <w:spacing w:before="0" w:beforeAutospacing="0" w:after="0" w:afterAutospacing="0" w:line="360" w:lineRule="auto"/>
        <w:ind w:firstLine="851"/>
        <w:jc w:val="both"/>
        <w:rPr>
          <w:color w:val="000000"/>
          <w:sz w:val="28"/>
          <w:szCs w:val="28"/>
        </w:rPr>
      </w:pPr>
      <w:r w:rsidRPr="00486D2B">
        <w:rPr>
          <w:color w:val="000000"/>
          <w:sz w:val="28"/>
          <w:szCs w:val="28"/>
        </w:rPr>
        <w:t>Ba là, nên bổ sung việc</w:t>
      </w:r>
      <w:r w:rsidRPr="00486D2B">
        <w:rPr>
          <w:rStyle w:val="apple-converted-space"/>
          <w:color w:val="000000"/>
          <w:sz w:val="28"/>
          <w:szCs w:val="28"/>
        </w:rPr>
        <w:t> </w:t>
      </w:r>
      <w:r w:rsidRPr="00486D2B">
        <w:rPr>
          <w:rStyle w:val="Emphasis"/>
          <w:i w:val="0"/>
          <w:color w:val="000000"/>
          <w:sz w:val="28"/>
          <w:szCs w:val="28"/>
        </w:rPr>
        <w:t>cho, nhận tế bào</w:t>
      </w:r>
      <w:r w:rsidRPr="00486D2B">
        <w:rPr>
          <w:rStyle w:val="apple-converted-space"/>
          <w:color w:val="000000"/>
          <w:sz w:val="28"/>
          <w:szCs w:val="28"/>
        </w:rPr>
        <w:t xml:space="preserve">, việc </w:t>
      </w:r>
      <w:r w:rsidRPr="00486D2B">
        <w:rPr>
          <w:color w:val="000000"/>
          <w:sz w:val="28"/>
          <w:szCs w:val="28"/>
        </w:rPr>
        <w:t>ghép tủy, ghép tế bào gốc liên quan đến tủy sống thuộc lĩnh vực huyết học và cần có các quy định về máu vào phạm vi điều chỉnh của Luật.</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Bốn là, mở rộng phạm vi chủ thể, cho phép người từ đủ 15 tuổi đến dưới 18 tuổi được quyền hiến nếu đ</w:t>
      </w:r>
      <w:r w:rsidRPr="00486D2B">
        <w:rPr>
          <w:color w:val="000000"/>
          <w:sz w:val="28"/>
          <w:szCs w:val="28"/>
        </w:rPr>
        <w:softHyphen/>
        <w:t>ược gia đình hoặc ngư</w:t>
      </w:r>
      <w:r w:rsidRPr="00486D2B">
        <w:rPr>
          <w:color w:val="000000"/>
          <w:sz w:val="28"/>
          <w:szCs w:val="28"/>
        </w:rPr>
        <w:softHyphen/>
        <w:t>ời giám hộ hợp pháp của họ đồng ý.</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Năm là, nên sớm có quy định về trình tự, thủ tục đối với việc hiến xác, hiến bộ phận cơ thể người cho mục đích nghiên cứu khoa học cũng như</w:t>
      </w:r>
      <w:r w:rsidRPr="00486D2B">
        <w:rPr>
          <w:color w:val="000000"/>
          <w:sz w:val="28"/>
          <w:szCs w:val="28"/>
        </w:rPr>
        <w:softHyphen/>
        <w:t xml:space="preserve"> điều kiện đối với các tổ chức nhận xác, bộ phận cơ thể ng</w:t>
      </w:r>
      <w:r w:rsidRPr="00486D2B">
        <w:rPr>
          <w:color w:val="000000"/>
          <w:sz w:val="28"/>
          <w:szCs w:val="28"/>
        </w:rPr>
        <w:softHyphen/>
        <w:t>ười để nghiên cứu khoa học. Và n</w:t>
      </w:r>
      <w:r w:rsidRPr="00486D2B">
        <w:rPr>
          <w:sz w:val="28"/>
          <w:szCs w:val="28"/>
        </w:rPr>
        <w:t>ếu sử dụng xác, bộ phận cơ thể vào mục đích nghiên cứu khoa học thì không nhất thiết phải bắt buộc điều kiện về sức khỏe của người hiến, bởi vì đích cuối cùng của nghiên cứu khoa học là nhằm tìm nguyên nhân và cách thức phòng ngừa bệnh tật để cứu chữa người bệnh. Vì vậy, dù là người có bệnh hay không có bệnh mà hiến xác, bộ phận cơ thể sau khi chết nhằm mục đích giảng dạy và nghiên cứu khoa học thì đều có thể nhận được</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Sáu là, về thẩm quyền xác định chết não: Nếu quy định như</w:t>
      </w:r>
      <w:r w:rsidRPr="00486D2B">
        <w:rPr>
          <w:color w:val="000000"/>
          <w:sz w:val="28"/>
          <w:szCs w:val="28"/>
        </w:rPr>
        <w:softHyphen/>
        <w:t xml:space="preserve"> điểm c, khoản 2, Điều 27 của Luật sẽ có nhiều trường hợp phải chờ sự có mặt của các chuyên gia pháp y, mà hiện nay chuyên gia pháp y ở nước ta không nhiều. Do đó, sẽ kéo dài</w:t>
      </w:r>
      <w:r w:rsidRPr="00486D2B">
        <w:rPr>
          <w:rStyle w:val="apple-converted-space"/>
          <w:color w:val="000000"/>
          <w:sz w:val="28"/>
          <w:szCs w:val="28"/>
        </w:rPr>
        <w:t> </w:t>
      </w:r>
      <w:r w:rsidRPr="00486D2B">
        <w:rPr>
          <w:rStyle w:val="Emphasis"/>
          <w:i w:val="0"/>
          <w:color w:val="000000"/>
          <w:sz w:val="28"/>
          <w:szCs w:val="28"/>
        </w:rPr>
        <w:t>thời gian vàng</w:t>
      </w:r>
      <w:r w:rsidRPr="00486D2B">
        <w:rPr>
          <w:rStyle w:val="apple-converted-space"/>
          <w:color w:val="000000"/>
          <w:sz w:val="28"/>
          <w:szCs w:val="28"/>
        </w:rPr>
        <w:t> </w:t>
      </w:r>
      <w:r w:rsidRPr="00486D2B">
        <w:rPr>
          <w:color w:val="000000"/>
          <w:sz w:val="28"/>
          <w:szCs w:val="28"/>
        </w:rPr>
        <w:t>cho phép lấy những bộ phận tạng đư</w:t>
      </w:r>
      <w:r w:rsidRPr="00486D2B">
        <w:rPr>
          <w:color w:val="000000"/>
          <w:sz w:val="28"/>
          <w:szCs w:val="28"/>
        </w:rPr>
        <w:softHyphen/>
        <w:t>ợc hiến ở điều kiện tốt nhất, chỉ bảo quản đư</w:t>
      </w:r>
      <w:r w:rsidRPr="00486D2B">
        <w:rPr>
          <w:color w:val="000000"/>
          <w:sz w:val="28"/>
          <w:szCs w:val="28"/>
        </w:rPr>
        <w:softHyphen/>
        <w:t>ợc trong thời gian ngắn. Việc xác định chết não nên giao cho một hội đồng độc lập gồm các chuyên gia thuộc chuyên khoa hồi sức, hồi sức tích cực nội – ngoại thần kinh đánh giá dựa trên dấu hiệu lâm sàng và cận lâm sàng của khoa học kỹ thuật y học hiện đại. Sau khi hội đồng có kết luận thống nhất thì thủ tr</w:t>
      </w:r>
      <w:r w:rsidRPr="00486D2B">
        <w:rPr>
          <w:color w:val="000000"/>
          <w:sz w:val="28"/>
          <w:szCs w:val="28"/>
        </w:rPr>
        <w:softHyphen/>
        <w:t>ưởng cơ sở y tế đó sẽ ra quyết định cuối cùng.</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Bảy là, về thủ tục đăng ký hiến mô, bộ phận cơ thể ngư</w:t>
      </w:r>
      <w:r w:rsidRPr="00486D2B">
        <w:rPr>
          <w:color w:val="000000"/>
          <w:sz w:val="28"/>
          <w:szCs w:val="28"/>
        </w:rPr>
        <w:softHyphen/>
        <w:t>ời sống; thủ tục đăng ký hiến bộ phận cơ thể ng</w:t>
      </w:r>
      <w:r w:rsidRPr="00486D2B">
        <w:rPr>
          <w:color w:val="000000"/>
          <w:sz w:val="28"/>
          <w:szCs w:val="28"/>
        </w:rPr>
        <w:softHyphen/>
        <w:t>ười hiến xác sau khi chết ở khoản 4 Điều 12 cũng nh</w:t>
      </w:r>
      <w:r w:rsidRPr="00486D2B">
        <w:rPr>
          <w:color w:val="000000"/>
          <w:sz w:val="28"/>
          <w:szCs w:val="28"/>
        </w:rPr>
        <w:softHyphen/>
        <w:t>ư khoản 4, Điều 18 của Luật có nêu: trách nhiệm của cơ sở y tế là</w:t>
      </w:r>
      <w:r w:rsidRPr="00486D2B">
        <w:rPr>
          <w:rStyle w:val="apple-converted-space"/>
          <w:color w:val="000000"/>
          <w:sz w:val="28"/>
          <w:szCs w:val="28"/>
        </w:rPr>
        <w:t> </w:t>
      </w:r>
      <w:r w:rsidRPr="00486D2B">
        <w:rPr>
          <w:rStyle w:val="Emphasis"/>
          <w:i w:val="0"/>
          <w:color w:val="000000"/>
          <w:sz w:val="28"/>
          <w:szCs w:val="28"/>
        </w:rPr>
        <w:t>trực tiếp gặp</w:t>
      </w:r>
      <w:r w:rsidRPr="00486D2B">
        <w:rPr>
          <w:rStyle w:val="apple-converted-space"/>
          <w:color w:val="000000"/>
          <w:sz w:val="28"/>
          <w:szCs w:val="28"/>
        </w:rPr>
        <w:t> </w:t>
      </w:r>
      <w:r w:rsidRPr="00486D2B">
        <w:rPr>
          <w:color w:val="000000"/>
          <w:sz w:val="28"/>
          <w:szCs w:val="28"/>
        </w:rPr>
        <w:t>người hiến để tư</w:t>
      </w:r>
      <w:r w:rsidRPr="00486D2B">
        <w:rPr>
          <w:color w:val="000000"/>
          <w:sz w:val="28"/>
          <w:szCs w:val="28"/>
        </w:rPr>
        <w:softHyphen/>
        <w:t xml:space="preserve"> vấn về các thông tin có liên quan là không khả thi. Vì vậy, </w:t>
      </w:r>
      <w:r w:rsidRPr="00486D2B">
        <w:rPr>
          <w:color w:val="000000"/>
          <w:sz w:val="28"/>
          <w:szCs w:val="28"/>
        </w:rPr>
        <w:lastRenderedPageBreak/>
        <w:t>đề nghị sửa đổi khoản 4, Điều 12, Điều 18 theo hư</w:t>
      </w:r>
      <w:r w:rsidRPr="00486D2B">
        <w:rPr>
          <w:color w:val="000000"/>
          <w:sz w:val="28"/>
          <w:szCs w:val="28"/>
        </w:rPr>
        <w:softHyphen/>
        <w:t>ớng sau: “Cơ sở y tế có trách nhiệm mời ng</w:t>
      </w:r>
      <w:r w:rsidRPr="00486D2B">
        <w:rPr>
          <w:color w:val="000000"/>
          <w:sz w:val="28"/>
          <w:szCs w:val="28"/>
        </w:rPr>
        <w:softHyphen/>
        <w:t>ười hiến đến cơ sở y tế để trực tiếp cung cấp đầy đủ các thông tin có liên quan cho ngư</w:t>
      </w:r>
      <w:r w:rsidRPr="00486D2B">
        <w:rPr>
          <w:color w:val="000000"/>
          <w:sz w:val="28"/>
          <w:szCs w:val="28"/>
        </w:rPr>
        <w:softHyphen/>
        <w:t>ời hiến biết”.</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Tám là, điểm a, khoản 2, Điều 17 của Luật cần làm rõ hơn về quy định khám sức khoẻ định kỳ bởi quy định này quá chung chung và khó thực hiện trên thực tiễn. Do đó, đề nghị sửa điểm a, khoản 2, Điều 17 của Luật hoặc quy định giải thích ở một văn bản d</w:t>
      </w:r>
      <w:r w:rsidRPr="00486D2B">
        <w:rPr>
          <w:color w:val="000000"/>
          <w:sz w:val="28"/>
          <w:szCs w:val="28"/>
        </w:rPr>
        <w:softHyphen/>
        <w:t>ưới luật nh</w:t>
      </w:r>
      <w:r w:rsidRPr="00486D2B">
        <w:rPr>
          <w:color w:val="000000"/>
          <w:sz w:val="28"/>
          <w:szCs w:val="28"/>
        </w:rPr>
        <w:softHyphen/>
        <w:t>ư sau: “Đư</w:t>
      </w:r>
      <w:r w:rsidRPr="00486D2B">
        <w:rPr>
          <w:color w:val="000000"/>
          <w:sz w:val="28"/>
          <w:szCs w:val="28"/>
        </w:rPr>
        <w:softHyphen/>
        <w:t>ợc chăm sóc, phục hồi sức khoẻ miễn phí ngay sau khi hiến bộ phận cơ thể tại cơ sở y tế, đ</w:t>
      </w:r>
      <w:r w:rsidRPr="00486D2B">
        <w:rPr>
          <w:color w:val="000000"/>
          <w:sz w:val="28"/>
          <w:szCs w:val="28"/>
        </w:rPr>
        <w:softHyphen/>
        <w:t>ược khám định kỳ miễn phí và đ</w:t>
      </w:r>
      <w:r w:rsidRPr="00486D2B">
        <w:rPr>
          <w:color w:val="000000"/>
          <w:sz w:val="28"/>
          <w:szCs w:val="28"/>
        </w:rPr>
        <w:softHyphen/>
        <w:t>ược điều trị miễn phí với những bệnh lý trực tiếp hoặc gián tiếp gây ra từ việc hiến mô, bộ, phận cơ thể ng</w:t>
      </w:r>
      <w:r w:rsidRPr="00486D2B">
        <w:rPr>
          <w:color w:val="000000"/>
          <w:sz w:val="28"/>
          <w:szCs w:val="28"/>
        </w:rPr>
        <w:softHyphen/>
        <w:t>ười”.</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Chín là, cần bổ sung Điều 25 theo hướng tôn vinh gia đình của người hiến, bởi những ngư</w:t>
      </w:r>
      <w:r w:rsidRPr="00486D2B">
        <w:rPr>
          <w:color w:val="000000"/>
          <w:sz w:val="28"/>
          <w:szCs w:val="28"/>
        </w:rPr>
        <w:softHyphen/>
        <w:t>ời thân thích của người chết đóng vai trò rất quan trọng trong việc người thân của mình có thể hiến xác, hiến mô, bộ phận cơ thể ngư</w:t>
      </w:r>
      <w:r w:rsidRPr="00486D2B">
        <w:rPr>
          <w:color w:val="000000"/>
          <w:sz w:val="28"/>
          <w:szCs w:val="28"/>
        </w:rPr>
        <w:softHyphen/>
        <w:t>ời.</w:t>
      </w:r>
      <w:r w:rsidRPr="00486D2B">
        <w:rPr>
          <w:sz w:val="28"/>
          <w:szCs w:val="28"/>
        </w:rPr>
        <w:t xml:space="preserve"> Kết hợp tăng cường hơn nữa công tác tuyên truyền cũng như trang bị kiến thức tới toàn dân về quyền hiến mô, bộ phận cơ thể người và hiến xác để người dân có thể có thể nhận thức được về tính cấp thiết cũng như tính nhân văn sâu sắc của vấn đề này</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Mười là, về điều kiện đối với việc lấy xác ng</w:t>
      </w:r>
      <w:r w:rsidRPr="00486D2B">
        <w:rPr>
          <w:color w:val="000000"/>
          <w:sz w:val="28"/>
          <w:szCs w:val="28"/>
        </w:rPr>
        <w:softHyphen/>
        <w:t>ười không có địa chỉ cư</w:t>
      </w:r>
      <w:r w:rsidRPr="00486D2B">
        <w:rPr>
          <w:color w:val="000000"/>
          <w:sz w:val="28"/>
          <w:szCs w:val="28"/>
        </w:rPr>
        <w:softHyphen/>
        <w:t xml:space="preserve"> trú cuối cùng (điểm c, khoản 2, Điều 22): cần có sự phân biệt giữa tử thi vô thừa nhận và tử thi ch</w:t>
      </w:r>
      <w:r w:rsidRPr="00486D2B">
        <w:rPr>
          <w:color w:val="000000"/>
          <w:sz w:val="28"/>
          <w:szCs w:val="28"/>
        </w:rPr>
        <w:softHyphen/>
        <w:t>ưa xác định được người thân thích. Nếu trường hợp là tử thi vô thừa nhận không có ng</w:t>
      </w:r>
      <w:r w:rsidRPr="00486D2B">
        <w:rPr>
          <w:color w:val="000000"/>
          <w:sz w:val="28"/>
          <w:szCs w:val="28"/>
        </w:rPr>
        <w:softHyphen/>
        <w:t>ười thân thích thì cần thời gian</w:t>
      </w:r>
      <w:r w:rsidRPr="00486D2B">
        <w:rPr>
          <w:rStyle w:val="apple-converted-space"/>
          <w:color w:val="000000"/>
          <w:sz w:val="28"/>
          <w:szCs w:val="28"/>
        </w:rPr>
        <w:t> </w:t>
      </w:r>
      <w:r w:rsidRPr="00486D2B">
        <w:rPr>
          <w:rStyle w:val="Emphasis"/>
          <w:i w:val="0"/>
          <w:color w:val="000000"/>
          <w:sz w:val="28"/>
          <w:szCs w:val="28"/>
        </w:rPr>
        <w:t xml:space="preserve">lưu xác </w:t>
      </w:r>
      <w:r w:rsidRPr="00486D2B">
        <w:rPr>
          <w:color w:val="000000"/>
          <w:sz w:val="28"/>
          <w:szCs w:val="28"/>
        </w:rPr>
        <w:t>để xác định chính xác điều đó trư</w:t>
      </w:r>
      <w:r w:rsidRPr="00486D2B">
        <w:rPr>
          <w:color w:val="000000"/>
          <w:sz w:val="28"/>
          <w:szCs w:val="28"/>
        </w:rPr>
        <w:softHyphen/>
        <w:t>ớc khi lấy mô, bộ phận cơ thể hoặc lấy xác của họ. Còn nếu trường hợp tử thi mà chư</w:t>
      </w:r>
      <w:r w:rsidRPr="00486D2B">
        <w:rPr>
          <w:color w:val="000000"/>
          <w:sz w:val="28"/>
          <w:szCs w:val="28"/>
        </w:rPr>
        <w:softHyphen/>
        <w:t>a xác định đ</w:t>
      </w:r>
      <w:r w:rsidRPr="00486D2B">
        <w:rPr>
          <w:color w:val="000000"/>
          <w:sz w:val="28"/>
          <w:szCs w:val="28"/>
        </w:rPr>
        <w:softHyphen/>
        <w:t>ợc ngư</w:t>
      </w:r>
      <w:r w:rsidRPr="00486D2B">
        <w:rPr>
          <w:color w:val="000000"/>
          <w:sz w:val="28"/>
          <w:szCs w:val="28"/>
        </w:rPr>
        <w:softHyphen/>
        <w:t>ời thân thích là ai thì theo quan điểm của PGS.TS. Phùng Trung Tập, Uỷ ban nhân dân xã nơi ng</w:t>
      </w:r>
      <w:r w:rsidRPr="00486D2B">
        <w:rPr>
          <w:color w:val="000000"/>
          <w:sz w:val="28"/>
          <w:szCs w:val="28"/>
        </w:rPr>
        <w:softHyphen/>
        <w:t>ười đó chết không có quyền đ</w:t>
      </w:r>
      <w:r w:rsidRPr="00486D2B">
        <w:rPr>
          <w:color w:val="000000"/>
          <w:sz w:val="28"/>
          <w:szCs w:val="28"/>
        </w:rPr>
        <w:softHyphen/>
        <w:t>ược hiến cho cơ sở y tế, vì nó có thể dẫn đến nhiều sự phức tạp như sự lạm dụng, che giấu tội phạm, thậm chí là mua bán mô tạng bất hợp pháp…, do đó, cơ quan có thẩm quyền rất khó kiểm soát tình hình. Chúng tôi cũng đồng ý với quan điểm này.</w:t>
      </w:r>
    </w:p>
    <w:p w:rsidR="003840D9" w:rsidRPr="00486D2B" w:rsidRDefault="003840D9" w:rsidP="003840D9">
      <w:pPr>
        <w:shd w:val="clear" w:color="auto" w:fill="FFFFFF"/>
        <w:tabs>
          <w:tab w:val="left" w:pos="1080"/>
        </w:tabs>
        <w:spacing w:line="360" w:lineRule="auto"/>
        <w:ind w:firstLine="720"/>
        <w:jc w:val="both"/>
        <w:rPr>
          <w:color w:val="000000"/>
          <w:sz w:val="28"/>
          <w:szCs w:val="28"/>
        </w:rPr>
      </w:pPr>
      <w:r w:rsidRPr="00486D2B">
        <w:rPr>
          <w:color w:val="000000"/>
          <w:sz w:val="28"/>
          <w:szCs w:val="28"/>
        </w:rPr>
        <w:t xml:space="preserve">Nên nghiên cứu quy định về điều kiện và trình tự, thủ tục cho phép người bị tuyên tử hình có quyền hiến xác, bộ phận cơ thể của mình sau khi chết, đây là </w:t>
      </w:r>
      <w:r w:rsidRPr="00486D2B">
        <w:rPr>
          <w:color w:val="000000"/>
          <w:sz w:val="28"/>
          <w:szCs w:val="28"/>
        </w:rPr>
        <w:lastRenderedPageBreak/>
        <w:t>một việc làm rất nhân văn và mang tính nhân đạo sâu sắc. Vì thế nên có quy định về điều kiện hiến xác, bộ phận cơ thể đối với tử tù trong trường hợp họ muốn hiến, ngoài những điều kiện chung về độ tuổi, năng lực nhận thức, sức khỏe… thì cần phải có những quy định đầy đủ hơn nữa về vấn đề này. Ví dụ, cần phải bãi bỏ quy định là không cho mang xác tù nhân ra khỏi pháp trường (tức là xác phải chôn trong pháp trường) đây là một vấn đề nhạy cảm nên cần phải có sự cân nhắc thận trọng giữa việc đảm bảo an ninh, an toàn và vấn đề nhân đạo, sức khỏe nhân dân.</w:t>
      </w:r>
    </w:p>
    <w:p w:rsidR="003840D9" w:rsidRDefault="003840D9" w:rsidP="003840D9">
      <w:pPr>
        <w:pBdr>
          <w:bottom w:val="dotted" w:sz="24" w:space="31" w:color="auto"/>
        </w:pBdr>
        <w:shd w:val="clear" w:color="auto" w:fill="FFFFFF"/>
        <w:tabs>
          <w:tab w:val="left" w:pos="1080"/>
        </w:tabs>
        <w:spacing w:line="360" w:lineRule="auto"/>
        <w:ind w:firstLine="720"/>
        <w:jc w:val="both"/>
        <w:rPr>
          <w:sz w:val="28"/>
          <w:szCs w:val="28"/>
        </w:rPr>
      </w:pPr>
      <w:r>
        <w:rPr>
          <w:sz w:val="28"/>
          <w:szCs w:val="28"/>
        </w:rPr>
        <w:t>Cần n</w:t>
      </w:r>
      <w:r w:rsidRPr="00486D2B">
        <w:rPr>
          <w:sz w:val="28"/>
          <w:szCs w:val="28"/>
        </w:rPr>
        <w:t>hanh chóng triển khai thành lập trung tâm điều phối quốc gia, tiếp tục phát huy vai trò của ngân hàng mô cũng như tăng cường hơn nữa hệ thống trang thiết bị y tế cùng đội ngũ y bác sĩ có trình độ tay nghề cao nhằm đảm bảo cho việc khám chữa bệnh và đảm bảo sức khỏe cho người dân</w:t>
      </w:r>
      <w:r>
        <w:rPr>
          <w:sz w:val="28"/>
          <w:szCs w:val="28"/>
        </w:rPr>
        <w:t>./.</w:t>
      </w:r>
    </w:p>
    <w:p w:rsidR="003840D9" w:rsidRDefault="003840D9" w:rsidP="003840D9">
      <w:pPr>
        <w:pBdr>
          <w:bottom w:val="dotted" w:sz="24" w:space="31" w:color="auto"/>
        </w:pBdr>
        <w:shd w:val="clear" w:color="auto" w:fill="FFFFFF"/>
        <w:tabs>
          <w:tab w:val="left" w:pos="1080"/>
        </w:tabs>
        <w:spacing w:line="360" w:lineRule="auto"/>
        <w:ind w:firstLine="720"/>
        <w:jc w:val="both"/>
        <w:rPr>
          <w:sz w:val="28"/>
          <w:szCs w:val="28"/>
        </w:rPr>
      </w:pPr>
    </w:p>
    <w:p w:rsidR="003840D9" w:rsidRDefault="003840D9" w:rsidP="003840D9">
      <w:pPr>
        <w:pBdr>
          <w:bottom w:val="dotted" w:sz="24" w:space="31" w:color="auto"/>
        </w:pBdr>
        <w:shd w:val="clear" w:color="auto" w:fill="FFFFFF"/>
        <w:tabs>
          <w:tab w:val="left" w:pos="1080"/>
        </w:tabs>
        <w:spacing w:line="360" w:lineRule="auto"/>
        <w:ind w:firstLine="720"/>
        <w:jc w:val="both"/>
        <w:rPr>
          <w:sz w:val="28"/>
          <w:szCs w:val="28"/>
        </w:rPr>
      </w:pPr>
    </w:p>
    <w:p w:rsidR="003F7147" w:rsidRDefault="003F7147"/>
    <w:sectPr w:rsidR="003F7147" w:rsidSect="00834DA7">
      <w:pgSz w:w="11907" w:h="16840" w:code="9"/>
      <w:pgMar w:top="1134" w:right="1134" w:bottom="1134" w:left="1701" w:header="0" w:footer="6"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compat/>
  <w:rsids>
    <w:rsidRoot w:val="003840D9"/>
    <w:rsid w:val="000825C2"/>
    <w:rsid w:val="00180C76"/>
    <w:rsid w:val="001C5892"/>
    <w:rsid w:val="001E7A5C"/>
    <w:rsid w:val="0026666A"/>
    <w:rsid w:val="002D21EE"/>
    <w:rsid w:val="003224C7"/>
    <w:rsid w:val="003840D9"/>
    <w:rsid w:val="003F7147"/>
    <w:rsid w:val="00442B95"/>
    <w:rsid w:val="00482CBC"/>
    <w:rsid w:val="004E4CCC"/>
    <w:rsid w:val="004F11E5"/>
    <w:rsid w:val="00551DC8"/>
    <w:rsid w:val="005953A4"/>
    <w:rsid w:val="006A4132"/>
    <w:rsid w:val="006E0C48"/>
    <w:rsid w:val="007C1FEE"/>
    <w:rsid w:val="0083456F"/>
    <w:rsid w:val="00834DA7"/>
    <w:rsid w:val="00867C0F"/>
    <w:rsid w:val="00905700"/>
    <w:rsid w:val="00A21851"/>
    <w:rsid w:val="00AB5734"/>
    <w:rsid w:val="00BA5DD7"/>
    <w:rsid w:val="00BB3BC7"/>
    <w:rsid w:val="00BC5672"/>
    <w:rsid w:val="00C10645"/>
    <w:rsid w:val="00C15B5C"/>
    <w:rsid w:val="00C57C91"/>
    <w:rsid w:val="00C6028C"/>
    <w:rsid w:val="00C810E3"/>
    <w:rsid w:val="00C94AAF"/>
    <w:rsid w:val="00C95E17"/>
    <w:rsid w:val="00CA1C69"/>
    <w:rsid w:val="00CA3FFE"/>
    <w:rsid w:val="00CB08F7"/>
    <w:rsid w:val="00CB7FA3"/>
    <w:rsid w:val="00CD03F2"/>
    <w:rsid w:val="00D51FE4"/>
    <w:rsid w:val="00E17165"/>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D9"/>
    <w:pPr>
      <w:spacing w:before="0" w:after="0" w:line="240" w:lineRule="auto"/>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after="100" w:line="259" w:lineRule="auto"/>
    </w:pPr>
    <w:rPr>
      <w:rFonts w:eastAsiaTheme="minorHAnsi" w:cstheme="minorBidi"/>
      <w:sz w:val="28"/>
      <w:szCs w:val="22"/>
    </w:rPr>
  </w:style>
  <w:style w:type="paragraph" w:styleId="TOC3">
    <w:name w:val="toc 3"/>
    <w:basedOn w:val="Normal"/>
    <w:next w:val="Normal"/>
    <w:autoRedefine/>
    <w:uiPriority w:val="39"/>
    <w:semiHidden/>
    <w:unhideWhenUsed/>
    <w:rsid w:val="0026666A"/>
    <w:pPr>
      <w:spacing w:after="100" w:line="259" w:lineRule="auto"/>
      <w:ind w:left="560"/>
    </w:pPr>
    <w:rPr>
      <w:rFonts w:eastAsiaTheme="minorHAnsi" w:cstheme="minorBidi"/>
      <w:sz w:val="28"/>
      <w:szCs w:val="22"/>
    </w:rPr>
  </w:style>
  <w:style w:type="paragraph" w:styleId="TOC2">
    <w:name w:val="toc 2"/>
    <w:basedOn w:val="Normal"/>
    <w:next w:val="Normal"/>
    <w:autoRedefine/>
    <w:uiPriority w:val="39"/>
    <w:unhideWhenUsed/>
    <w:rsid w:val="0026666A"/>
    <w:pPr>
      <w:spacing w:after="100" w:line="259" w:lineRule="auto"/>
      <w:ind w:left="280"/>
    </w:pPr>
    <w:rPr>
      <w:rFonts w:eastAsiaTheme="minorHAnsi" w:cstheme="minorBidi"/>
      <w:sz w:val="28"/>
      <w:szCs w:val="22"/>
    </w:rPr>
  </w:style>
  <w:style w:type="character" w:customStyle="1" w:styleId="apple-converted-space">
    <w:name w:val="apple-converted-space"/>
    <w:rsid w:val="003840D9"/>
  </w:style>
  <w:style w:type="paragraph" w:styleId="NormalWeb">
    <w:name w:val="Normal (Web)"/>
    <w:basedOn w:val="Normal"/>
    <w:unhideWhenUsed/>
    <w:rsid w:val="003840D9"/>
    <w:pPr>
      <w:spacing w:before="100" w:beforeAutospacing="1" w:after="100" w:afterAutospacing="1"/>
    </w:pPr>
    <w:rPr>
      <w:lang w:eastAsia="ja-JP"/>
    </w:rPr>
  </w:style>
  <w:style w:type="character" w:styleId="Emphasis">
    <w:name w:val="Emphasis"/>
    <w:qFormat/>
    <w:rsid w:val="003840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1</cp:revision>
  <dcterms:created xsi:type="dcterms:W3CDTF">2019-03-18T15:43:00Z</dcterms:created>
  <dcterms:modified xsi:type="dcterms:W3CDTF">2019-03-18T15:45:00Z</dcterms:modified>
</cp:coreProperties>
</file>