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05" w:rsidRPr="00CF5FC0" w:rsidRDefault="007D2105" w:rsidP="007D2105">
      <w:pPr>
        <w:shd w:val="clear" w:color="auto" w:fill="FFFFFF"/>
        <w:spacing w:after="0" w:line="360" w:lineRule="auto"/>
        <w:jc w:val="center"/>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bdr w:val="none" w:sz="0" w:space="0" w:color="auto" w:frame="1"/>
        </w:rPr>
        <w:t>“QUỐC TRIỀU HÌNH LUẬT” ĐỈNH CAO CỦA THÀNH TỰU LUẬT PHÁP VIỆT NAM THỜI PHONG KIẾN</w:t>
      </w:r>
    </w:p>
    <w:p w:rsidR="007D2105" w:rsidRPr="00CF5FC0" w:rsidRDefault="007D2105" w:rsidP="007D2105">
      <w:pPr>
        <w:spacing w:after="150" w:line="360" w:lineRule="auto"/>
        <w:jc w:val="right"/>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rPr>
        <w:t>Nguyễn Thị Kim Tiến</w:t>
      </w:r>
    </w:p>
    <w:p w:rsidR="007D2105" w:rsidRPr="007D2105" w:rsidRDefault="007D2105" w:rsidP="007D2105">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r w:rsidRPr="007D2105">
        <w:rPr>
          <w:rFonts w:ascii="Times New Roman" w:eastAsia="Times New Roman" w:hAnsi="Times New Roman" w:cs="Times New Roman"/>
          <w:b/>
          <w:bCs/>
          <w:i/>
          <w:iCs/>
          <w:color w:val="333333"/>
          <w:sz w:val="28"/>
          <w:szCs w:val="28"/>
          <w:bdr w:val="none" w:sz="0" w:space="0" w:color="auto" w:frame="1"/>
        </w:rPr>
        <w:t>1.2.5. “Quốc triều hình luật” đạt một trình độ cao về kĩ thuật luật pháp</w:t>
      </w:r>
    </w:p>
    <w:p w:rsidR="007D2105" w:rsidRPr="007D2105" w:rsidRDefault="007D2105" w:rsidP="007D2105">
      <w:pPr>
        <w:shd w:val="clear" w:color="auto" w:fill="FFFFFF"/>
        <w:spacing w:after="0" w:line="360" w:lineRule="auto"/>
        <w:ind w:firstLine="426"/>
        <w:jc w:val="both"/>
        <w:textAlignment w:val="baseline"/>
        <w:rPr>
          <w:rFonts w:ascii="Times New Roman" w:eastAsia="Times New Roman" w:hAnsi="Times New Roman" w:cs="Times New Roman"/>
          <w:color w:val="353535"/>
          <w:sz w:val="28"/>
          <w:szCs w:val="28"/>
        </w:rPr>
      </w:pPr>
      <w:r w:rsidRPr="007D2105">
        <w:rPr>
          <w:rFonts w:ascii="Times New Roman" w:eastAsia="Times New Roman" w:hAnsi="Times New Roman" w:cs="Times New Roman"/>
          <w:color w:val="333333"/>
          <w:sz w:val="28"/>
          <w:szCs w:val="28"/>
          <w:bdr w:val="none" w:sz="0" w:space="0" w:color="auto" w:frame="1"/>
        </w:rPr>
        <w:t xml:space="preserve">Điều tiến bộ lớn nhất của bộ luật này là đã chú ý đến tính hệ thống trong nội dung các điều luật. Các nhà làm luật đã ghép tương đối hợp lí các điều gần nhau về tính chất vào một chương và các chương có liên quan đến nhau được để trong một quyển. Hơn thế nữa, trong hoàn cảnh và trình độ pháp lý của thế kỷ XV, sự hoàn thiện và phong phú của các tình tiết cụ thể khiến cho nhiều nhà nghiên cứu và chúng ta ngày nay phải ngạc nhiên và thán phục. Hầu hết tất cả những vấn đề lớn nhỏ trong xã hội đều được nếu ra trong bộ luật. Thậm chí, cả những quy định dành riêng cho binh línhcũng được tập hợp một cách có hệ thống. Một số điều đã đạt tới trình độ tiếp cận với kỹ thuật lập pháp hiện đại: ý chí phạm tội, tình tiết làm nặng hoặc giảm nhẹ tội. Các điều luật trong “Quốc triều hình luật” không có tên gọi mà chỉ đánh số điều, vì vậy, trong rất nhiều điều luật, nhà làm luật không chỉ quy định một hành vi phạm vi tội mà còn quy định cả cách xử lý đối với những người có liên quan trong trường hợp phạm tội đó. Một số quy phạm pháp luật có cách trình bày tương đối độc đáo và dễ hiểu, mô tả những tình huống cụ thể đến chi tiết. Thậm chí, trong bộ luật còn cụ thể hoá tới mức giả địnhcả tên người trong hành vi hoặc quan hệ pháp luật (điều 397). Cách diễn đạt như vậy đảm bảo cho các quy phạm pháp luật phức tạp có thể được mọi người hiểu một cách dễ dàng. Phần chế tài trong các quy phạm pháp luật của “Quốc triều hình luật” được quy định dưới dạng chế tài cố định - đây là điểm khác biệt của bộ luật này so với các quy phạm pháp luật hiện hành ở cả các nước phương Đông, phương Tây. Thường thì các ngành luật sử dụng hình thức chế tài không cố định (có biện pháp cưỡng chế ở mức cao nhất và mức thấp nhất), còn mức độ áp dụng cụ thể trong trường hợp cụ thể thì </w:t>
      </w:r>
      <w:r w:rsidRPr="007D2105">
        <w:rPr>
          <w:rFonts w:ascii="Times New Roman" w:eastAsia="Times New Roman" w:hAnsi="Times New Roman" w:cs="Times New Roman"/>
          <w:color w:val="333333"/>
          <w:sz w:val="28"/>
          <w:szCs w:val="28"/>
          <w:bdr w:val="none" w:sz="0" w:space="0" w:color="auto" w:frame="1"/>
        </w:rPr>
        <w:lastRenderedPageBreak/>
        <w:t>được quy định bởi các cơ quan nhà nước có thẩm quyền, nhưng ở “Quốc triều hình luật” thì các mức chế tài nặng hay nhẹ, tăng nạng hay giảm nhẹ tội được ấn định rõ ràng cho mối hành vi vi phạm cụ thể (điều 466). Điều đó đảm bảo tính chính xác cao nhất trong việc áp dụng pháp luật để quản lí đất nước của chính quyền Hậu Lê. Cách diễn đạt các quy phạm pháp luật dân chiếu được sử phổ biến trong “Quốc triều hình luật”. Khi cần xác định nội dung pháp lý hoặc hành vi pháp lý nào đó cần phải được xử lý theo điều luật khác, các nhà làm luật đã có sự chỉ rõ: “Những kẻ bỏ tiền ra mua đồ vật của công thì bị xử tội như ăn trộm của công” (điều 449); “nếu  những quan thu tiền thuế và những đồ phải thu đã thu mà để quá kỳ không nộp vào kho, nếu quá 2, 3 tháng cho là tội giấu giếm, quá 4 tháng trở lên cho là tội ăn trộm” (điều 428)… Trong bộ luật cũng có một số điều nêu lên một số khái niệm pháp lý đáng lưu ý: khái niệm “bất hiếu” (điều 2), “lầm lỡ” (điều 499), …thậm chí điều 642 còn nêu lên như một nguyên tắc, một công thức pháp lý để vận dụng vào thực tế trước những điều luật không có điều luật cụ thể nào tương ứng. Có thể nói, “Quốc triều hình luật” là ‘văn bản quy phạm pháp luật chứa đựng những giá trị rất quý báu về tư tưởng và kĩ thuật lập pháp”</w:t>
      </w:r>
      <w:r w:rsidRPr="007D2105">
        <w:rPr>
          <w:rFonts w:ascii="Times New Roman" w:eastAsia="Times New Roman" w:hAnsi="Times New Roman" w:cs="Times New Roman"/>
          <w:color w:val="333333"/>
          <w:sz w:val="28"/>
          <w:szCs w:val="28"/>
          <w:bdr w:val="none" w:sz="0" w:space="0" w:color="auto" w:frame="1"/>
          <w:vertAlign w:val="superscript"/>
        </w:rPr>
        <w:t>8</w:t>
      </w:r>
      <w:r w:rsidRPr="007D2105">
        <w:rPr>
          <w:rFonts w:ascii="Times New Roman" w:eastAsia="Times New Roman" w:hAnsi="Times New Roman" w:cs="Times New Roman"/>
          <w:color w:val="333333"/>
          <w:sz w:val="28"/>
          <w:szCs w:val="28"/>
          <w:bdr w:val="none" w:sz="0" w:space="0" w:color="auto" w:frame="1"/>
        </w:rPr>
        <w:t>. Các nhà làm luật triều Hậu Lê và vua Lê Thánh Tông đã thực sự xây dựng được một trình độ kĩ thuật tiến bộ so với thời đại.</w:t>
      </w:r>
    </w:p>
    <w:p w:rsidR="007D2105" w:rsidRPr="007D2105" w:rsidRDefault="007D2105" w:rsidP="007D2105">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r w:rsidRPr="007D2105">
        <w:rPr>
          <w:rFonts w:ascii="Times New Roman" w:eastAsia="Times New Roman" w:hAnsi="Times New Roman" w:cs="Times New Roman"/>
          <w:b/>
          <w:bCs/>
          <w:i/>
          <w:iCs/>
          <w:color w:val="333333"/>
          <w:sz w:val="28"/>
          <w:szCs w:val="28"/>
          <w:bdr w:val="none" w:sz="0" w:space="0" w:color="auto" w:frame="1"/>
        </w:rPr>
        <w:t>1.2.6. “Quốc triều hình luật” mang nhiều tưởng tiến bộ, đi trước thời đại</w:t>
      </w:r>
    </w:p>
    <w:p w:rsidR="007D2105" w:rsidRPr="007D2105" w:rsidRDefault="007D2105" w:rsidP="007D2105">
      <w:pPr>
        <w:shd w:val="clear" w:color="auto" w:fill="FFFFFF"/>
        <w:spacing w:after="0" w:line="360" w:lineRule="auto"/>
        <w:ind w:firstLine="426"/>
        <w:jc w:val="both"/>
        <w:textAlignment w:val="baseline"/>
        <w:rPr>
          <w:rFonts w:ascii="Times New Roman" w:eastAsia="Times New Roman" w:hAnsi="Times New Roman" w:cs="Times New Roman"/>
          <w:color w:val="353535"/>
          <w:sz w:val="28"/>
          <w:szCs w:val="28"/>
        </w:rPr>
      </w:pPr>
      <w:r w:rsidRPr="007D2105">
        <w:rPr>
          <w:rFonts w:ascii="Times New Roman" w:eastAsia="Times New Roman" w:hAnsi="Times New Roman" w:cs="Times New Roman"/>
          <w:color w:val="333333"/>
          <w:sz w:val="28"/>
          <w:szCs w:val="28"/>
          <w:bdr w:val="none" w:sz="0" w:space="0" w:color="auto" w:frame="1"/>
        </w:rPr>
        <w:t xml:space="preserve">Ra đời vào giữa thế kỷ XV, nhưng bộ “Quốc triều hình luật”đã đạt được giá trị và thành tựu nổi bật, có những đặc điểm tiến bộ và ưu thế hơn hẳng các bộ luật trước và cả sau nó. Thậm chí, nhiều yếu tố còn có ý nghĩa lớn trong việc xây dựng và hoàn chỉnh hệ thống luật của nước ta hiện nay. Điều tiến bộ nổi bật nhất mà chúng ta thường đề cập đến nhiều nhất chính là sự quan tâm nhiều đến địa vị của người phụ nữ, quan tâm đến quyền lợi của họ, cho họ một sự bình đẳng tương đối đối với đàn ông trong xã hội và người chồng trong gia đình. Đó chính là yếu tố góp phần làm nên sự đặc biệt và tiến bộ đi trước thời đại của bộ luật này. Trong bộ luật </w:t>
      </w:r>
      <w:r w:rsidRPr="007D2105">
        <w:rPr>
          <w:rFonts w:ascii="Times New Roman" w:eastAsia="Times New Roman" w:hAnsi="Times New Roman" w:cs="Times New Roman"/>
          <w:color w:val="333333"/>
          <w:sz w:val="28"/>
          <w:szCs w:val="28"/>
          <w:bdr w:val="none" w:sz="0" w:space="0" w:color="auto" w:frame="1"/>
        </w:rPr>
        <w:lastRenderedPageBreak/>
        <w:t>đã có nhiều điều liên quan đến địa vị pháp lý của người phụ nữ - một điều ít thấy trong các bộ luật phong kiến. Giải thích về nguyên nhân có sự coi trọng người phụ nữ như vậy, nhiều ý kiến cho rằng điều đó phần nhiều là do sự chi phối của tư tưởng Lê Thánh Tông. Ông có kết hợp nhuần nhuyễn hệ tư tưởng Nho giáo với phong tục tập quán và truyền thống dân tộc, cuộc đời của vị vua này còn chịu ơn rất nhiều người phụ nữa như bà thứ phi Ngô Thị Ngọc Dao, bà Nguyễn Thị Lộ, … vì thế ông muốn bảo vệ người phụ nữ thoát khỏi sự khinh rẻ bị chà đạp thường xuyên trong xã hội phong kiến. “Quốc triều hình luật” đã quan tâm bảo vệ những quyền cơ bản của con người. Mặc dù bị hạn chế bởi quan niệm giai cấp hẹp hòi, nhưng bộ luật này cũng đã đưa ra nhiều quy định bảo vệ con người, trong đó có cả việc bảo vệ những những ở tầng lớp dưới trong xã hội, như bảo vệ quyền dân chủ tự do của dân đinh, có nhiều điều quy định các hình phạt cụ thể chống lại sự nô tỳ hoá đối với dân đinh, đặc biệt là trong đó không có sự phân biệt về địa vị xã hội và bảo vệ danh dự, nhân phẩm con người. … Trong lĩnh vực pháp luật, “Quốc triều hình luật” cũng có những tiến bộ vượt trội so với thời đại: đặc biệt quan tâm đến việc đào tạo và sử dụng quan lại, những điều luật liên quan đến quan tướng các cấp chiếm trên 50% tổng số điều luật về quy định về tội phạm, quy định về tội phạm rất tỉ mỉ, chi tiết làm tăng tính hiệu lực của bộ luật, các loại tội phạm được quy định khác nhau, tuy tội phạm này không cùng xâm hại một khách thể nhưng lại có liên hệ với nhau và được phân theo nhóm, nên rất thuận tiện cho việc xét xử. Tuy ra đời cách đây hơn 500 năm, nhưng “Quốc triều hình luật” đã quy định được gần như tất cả các tội danh cơ bản theo luật hình sự hiện đại</w:t>
      </w:r>
      <w:r w:rsidRPr="007D2105">
        <w:rPr>
          <w:rFonts w:ascii="Times New Roman" w:eastAsia="Times New Roman" w:hAnsi="Times New Roman" w:cs="Times New Roman"/>
          <w:color w:val="333333"/>
          <w:sz w:val="28"/>
          <w:szCs w:val="28"/>
          <w:bdr w:val="none" w:sz="0" w:space="0" w:color="auto" w:frame="1"/>
          <w:vertAlign w:val="superscript"/>
        </w:rPr>
        <w:t>9</w:t>
      </w:r>
      <w:r w:rsidRPr="007D2105">
        <w:rPr>
          <w:rFonts w:ascii="Times New Roman" w:eastAsia="Times New Roman" w:hAnsi="Times New Roman" w:cs="Times New Roman"/>
          <w:color w:val="333333"/>
          <w:sz w:val="28"/>
          <w:szCs w:val="28"/>
          <w:bdr w:val="none" w:sz="0" w:space="0" w:color="auto" w:frame="1"/>
        </w:rPr>
        <w:t xml:space="preserve">. “Quốc triều hình luật” có sự quan tâm nhiều đến việc bảo vệ các quan hệ gia đình. Có thể, các nhà lập pháp đã nhận thức rất rõ vai trò quan trong trong gia đình - hạt nhân của xã hội. Đồng thời, nó cũng cho thấy sự chi phối rất mạnh của hệ tư tưởng Nho giáo đến chính trị, xã hội Đại Việt thời kỳ đó. Có thể nói, “Quốc triều hình luật” đã đạt được rất nhiều thành tựu nổi bật, có tính chất tiến bộ vượt thời đại. Qua đó, chúng ta không chỉ </w:t>
      </w:r>
      <w:r w:rsidRPr="007D2105">
        <w:rPr>
          <w:rFonts w:ascii="Times New Roman" w:eastAsia="Times New Roman" w:hAnsi="Times New Roman" w:cs="Times New Roman"/>
          <w:color w:val="333333"/>
          <w:sz w:val="28"/>
          <w:szCs w:val="28"/>
          <w:bdr w:val="none" w:sz="0" w:space="0" w:color="auto" w:frame="1"/>
        </w:rPr>
        <w:lastRenderedPageBreak/>
        <w:t>thấy được tài năng tuyệt vời của các nhà lập pháp Việt Nam thế kỷ XV, trong đó vị vua anh minh Lê Thánh Tông mà còn thấy được sự phát triển mạnh mẽ và vững chắc của chế độ phong kiến Việt Nam thời kỳ này. Sự phát triển cao của chế độ phong trung ương tập quyền thời Lê Sơ đã được khẳng định ở thêm độ bền vững với sự ra đời của “Quốc triều hình luật” năm 1483. Đây được coi là bộ luật hoàn chỉnh nhất còn giữ lại được đến ngày nay trong lịch sử luật pháp phong kiến nước ta. Nó là một thành tựu đặc sắc trong lịch sử Nhà nước và pháp quyền Việt Nam. Mang bản chất gia cấp phong kiến nhưng “Quốc triều hình luật” đã thể hiện được sự kết hợp hài hài quyền lợi của giai cấp gắn với lợi ích dân tộc, thể hiện được sự điều hoà giai cấp tài tình trong xã hội Việt Nam thời kỳ Hậu Lê trong thời thịnh trị.</w:t>
      </w:r>
    </w:p>
    <w:p w:rsidR="007D2105" w:rsidRDefault="007D2105">
      <w:pPr>
        <w:rPr>
          <w:rStyle w:val="Strong"/>
          <w:rFonts w:ascii="Times New Roman" w:eastAsia="Times New Roman" w:hAnsi="Times New Roman" w:cs="Times New Roman"/>
          <w:color w:val="333333"/>
          <w:sz w:val="28"/>
          <w:szCs w:val="28"/>
          <w:bdr w:val="none" w:sz="0" w:space="0" w:color="auto" w:frame="1"/>
        </w:rPr>
      </w:pPr>
      <w:r>
        <w:rPr>
          <w:rStyle w:val="Strong"/>
          <w:color w:val="333333"/>
          <w:sz w:val="28"/>
          <w:szCs w:val="28"/>
          <w:bdr w:val="none" w:sz="0" w:space="0" w:color="auto" w:frame="1"/>
        </w:rPr>
        <w:br w:type="page"/>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bookmarkStart w:id="0" w:name="_GoBack"/>
      <w:r w:rsidRPr="007D2105">
        <w:rPr>
          <w:rStyle w:val="Strong"/>
          <w:color w:val="333333"/>
          <w:sz w:val="28"/>
          <w:szCs w:val="28"/>
          <w:bdr w:val="none" w:sz="0" w:space="0" w:color="auto" w:frame="1"/>
        </w:rPr>
        <w:lastRenderedPageBreak/>
        <w:t>Tài liệu tham khảo</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1. </w:t>
      </w:r>
      <w:r w:rsidRPr="007D2105">
        <w:rPr>
          <w:rStyle w:val="Emphasis"/>
          <w:color w:val="333333"/>
          <w:sz w:val="28"/>
          <w:szCs w:val="28"/>
          <w:bdr w:val="none" w:sz="0" w:space="0" w:color="auto" w:frame="1"/>
        </w:rPr>
        <w:t>Quốc triều hình luật</w:t>
      </w:r>
      <w:r w:rsidRPr="007D2105">
        <w:rPr>
          <w:color w:val="333333"/>
          <w:sz w:val="28"/>
          <w:szCs w:val="28"/>
          <w:bdr w:val="none" w:sz="0" w:space="0" w:color="auto" w:frame="1"/>
        </w:rPr>
        <w:t>, NXB Chính trị Quốc gia Hà Nội 2005. Trong bài viết sẽ sử dụng rất nhiều dẫn chứng từ các điều trong Bộ luật này. Để cho tiện, tác giả sẽ không trích dẫn số trang khi dẫn các điều, mà chỉ ghi rõ số Điều trong nguyên văn Bộ luật được xuất bản năm 1995 này.</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2. Vũ Thị Nga, </w:t>
      </w:r>
      <w:r w:rsidRPr="007D2105">
        <w:rPr>
          <w:rStyle w:val="Emphasis"/>
          <w:color w:val="333333"/>
          <w:sz w:val="28"/>
          <w:szCs w:val="28"/>
          <w:bdr w:val="none" w:sz="0" w:space="0" w:color="auto" w:frame="1"/>
        </w:rPr>
        <w:t>Quá trình hình thành Quốc triều hình luật</w:t>
      </w:r>
      <w:r w:rsidRPr="007D2105">
        <w:rPr>
          <w:color w:val="333333"/>
          <w:sz w:val="28"/>
          <w:szCs w:val="28"/>
          <w:bdr w:val="none" w:sz="0" w:space="0" w:color="auto" w:frame="1"/>
        </w:rPr>
        <w:t> - </w:t>
      </w:r>
      <w:r w:rsidRPr="007D2105">
        <w:rPr>
          <w:rStyle w:val="Emphasis"/>
          <w:color w:val="333333"/>
          <w:sz w:val="28"/>
          <w:szCs w:val="28"/>
          <w:bdr w:val="none" w:sz="0" w:space="0" w:color="auto" w:frame="1"/>
        </w:rPr>
        <w:t>Quốc triều hình luật” lịch sử hình thành, nội dung và giá trị</w:t>
      </w:r>
      <w:r w:rsidRPr="007D2105">
        <w:rPr>
          <w:color w:val="333333"/>
          <w:sz w:val="28"/>
          <w:szCs w:val="28"/>
          <w:bdr w:val="none" w:sz="0" w:space="0" w:color="auto" w:frame="1"/>
        </w:rPr>
        <w:t>”, Lê Thị Sơn (cb) – NXB Khoa học Xã hội Hà Nội 2004, trang 50.</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3. Khoa Luật Đại học Quốc gia, </w:t>
      </w:r>
      <w:r w:rsidRPr="007D2105">
        <w:rPr>
          <w:rStyle w:val="Emphasis"/>
          <w:color w:val="333333"/>
          <w:sz w:val="28"/>
          <w:szCs w:val="28"/>
          <w:bdr w:val="none" w:sz="0" w:space="0" w:color="auto" w:frame="1"/>
        </w:rPr>
        <w:t>Giáo trình Lý luận chung về Nhà nước và Pháp luật</w:t>
      </w:r>
      <w:r w:rsidRPr="007D2105">
        <w:rPr>
          <w:color w:val="333333"/>
          <w:sz w:val="28"/>
          <w:szCs w:val="28"/>
          <w:bdr w:val="none" w:sz="0" w:space="0" w:color="auto" w:frame="1"/>
        </w:rPr>
        <w:t> – NXB Đại học Quốc gia Hà Nội 2001, trang 242.</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4. Lê Thị Sơn, </w:t>
      </w:r>
      <w:r w:rsidRPr="007D2105">
        <w:rPr>
          <w:rStyle w:val="Emphasis"/>
          <w:color w:val="333333"/>
          <w:sz w:val="28"/>
          <w:szCs w:val="28"/>
          <w:bdr w:val="none" w:sz="0" w:space="0" w:color="auto" w:frame="1"/>
        </w:rPr>
        <w:t>Những đặc điểm cơ bản của pháp luật hình sự thời nhà Lê trong Quốc triều hình luật - Quốc triều hình luật lịch sử hình thành nội dung và giá trị</w:t>
      </w:r>
      <w:r w:rsidRPr="007D2105">
        <w:rPr>
          <w:color w:val="333333"/>
          <w:sz w:val="28"/>
          <w:szCs w:val="28"/>
          <w:bdr w:val="none" w:sz="0" w:space="0" w:color="auto" w:frame="1"/>
        </w:rPr>
        <w:t>, Sđd, trang 182.</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5. Insun Yu: </w:t>
      </w:r>
      <w:r w:rsidRPr="007D2105">
        <w:rPr>
          <w:rStyle w:val="Emphasis"/>
          <w:color w:val="333333"/>
          <w:sz w:val="28"/>
          <w:szCs w:val="28"/>
          <w:bdr w:val="none" w:sz="0" w:space="0" w:color="auto" w:frame="1"/>
        </w:rPr>
        <w:t>Luật và xã hội Việt Nam thế kỷ XVII,</w:t>
      </w:r>
      <w:r w:rsidRPr="007D2105">
        <w:rPr>
          <w:color w:val="333333"/>
          <w:sz w:val="28"/>
          <w:szCs w:val="28"/>
          <w:bdr w:val="none" w:sz="0" w:space="0" w:color="auto" w:frame="1"/>
        </w:rPr>
        <w:t> XVIII” – NXB Khoa học Xã hội Hà Nội 1994, trang 113.</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6. Lê Đức Tiết, </w:t>
      </w:r>
      <w:r w:rsidRPr="007D2105">
        <w:rPr>
          <w:rStyle w:val="Emphasis"/>
          <w:color w:val="333333"/>
          <w:sz w:val="28"/>
          <w:szCs w:val="28"/>
          <w:bdr w:val="none" w:sz="0" w:space="0" w:color="auto" w:frame="1"/>
        </w:rPr>
        <w:t>Lê Thánh Tông vị vua anh minh nhà cách tân xuất sắc</w:t>
      </w:r>
      <w:r w:rsidRPr="007D2105">
        <w:rPr>
          <w:color w:val="333333"/>
          <w:sz w:val="28"/>
          <w:szCs w:val="28"/>
          <w:bdr w:val="none" w:sz="0" w:space="0" w:color="auto" w:frame="1"/>
        </w:rPr>
        <w:t>, NXB Quân đội nhân dân , Hà Nội ,1997, trang 108.</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7. Lê Đức Tiết, </w:t>
      </w:r>
      <w:r w:rsidRPr="007D2105">
        <w:rPr>
          <w:rStyle w:val="Emphasis"/>
          <w:color w:val="333333"/>
          <w:sz w:val="28"/>
          <w:szCs w:val="28"/>
          <w:bdr w:val="none" w:sz="0" w:space="0" w:color="auto" w:frame="1"/>
        </w:rPr>
        <w:t>Lê Thánh Tông vị vua anh minh…</w:t>
      </w:r>
      <w:r w:rsidRPr="007D2105">
        <w:rPr>
          <w:color w:val="333333"/>
          <w:sz w:val="28"/>
          <w:szCs w:val="28"/>
          <w:bdr w:val="none" w:sz="0" w:space="0" w:color="auto" w:frame="1"/>
        </w:rPr>
        <w:t>, Sđd, trang 72.</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8. Nguyễn Quốc Hoàn: </w:t>
      </w:r>
      <w:r w:rsidRPr="007D2105">
        <w:rPr>
          <w:rStyle w:val="Emphasis"/>
          <w:color w:val="333333"/>
          <w:sz w:val="28"/>
          <w:szCs w:val="28"/>
          <w:bdr w:val="none" w:sz="0" w:space="0" w:color="auto" w:frame="1"/>
        </w:rPr>
        <w:t>Quốc triều hình luật những giá trị về lập pháp – Quốc triều hình luật lịch sử hình thành..</w:t>
      </w:r>
      <w:r w:rsidRPr="007D2105">
        <w:rPr>
          <w:color w:val="333333"/>
          <w:sz w:val="28"/>
          <w:szCs w:val="28"/>
          <w:bdr w:val="none" w:sz="0" w:space="0" w:color="auto" w:frame="1"/>
        </w:rPr>
        <w:t>, Sđd, trang 134.</w:t>
      </w:r>
    </w:p>
    <w:p w:rsidR="007D2105" w:rsidRPr="007D2105" w:rsidRDefault="007D2105" w:rsidP="007D2105">
      <w:pPr>
        <w:pStyle w:val="NormalWeb"/>
        <w:shd w:val="clear" w:color="auto" w:fill="FFFFFF"/>
        <w:spacing w:before="0" w:beforeAutospacing="0" w:after="0" w:afterAutospacing="0" w:line="360" w:lineRule="auto"/>
        <w:jc w:val="both"/>
        <w:textAlignment w:val="baseline"/>
        <w:rPr>
          <w:color w:val="353535"/>
          <w:sz w:val="28"/>
          <w:szCs w:val="28"/>
        </w:rPr>
      </w:pPr>
      <w:r w:rsidRPr="007D2105">
        <w:rPr>
          <w:color w:val="333333"/>
          <w:sz w:val="28"/>
          <w:szCs w:val="28"/>
          <w:bdr w:val="none" w:sz="0" w:space="0" w:color="auto" w:frame="1"/>
        </w:rPr>
        <w:t>9. Xin xem danh sách liệt kê trong </w:t>
      </w:r>
      <w:r w:rsidRPr="007D2105">
        <w:rPr>
          <w:rStyle w:val="Emphasis"/>
          <w:color w:val="333333"/>
          <w:sz w:val="28"/>
          <w:szCs w:val="28"/>
          <w:bdr w:val="none" w:sz="0" w:space="0" w:color="auto" w:frame="1"/>
        </w:rPr>
        <w:t>Nội dung và giá trị của những quy định về tội phạm cụ thể trong Quốc triều hình luật</w:t>
      </w:r>
      <w:r w:rsidRPr="007D2105">
        <w:rPr>
          <w:color w:val="333333"/>
          <w:sz w:val="28"/>
          <w:szCs w:val="28"/>
          <w:bdr w:val="none" w:sz="0" w:space="0" w:color="auto" w:frame="1"/>
        </w:rPr>
        <w:t> (Đỗ Đức Hồng Hà) – </w:t>
      </w:r>
      <w:r w:rsidRPr="007D2105">
        <w:rPr>
          <w:rStyle w:val="Emphasis"/>
          <w:color w:val="333333"/>
          <w:sz w:val="28"/>
          <w:szCs w:val="28"/>
          <w:bdr w:val="none" w:sz="0" w:space="0" w:color="auto" w:frame="1"/>
        </w:rPr>
        <w:t>Quốc triều hình luật lich sử hình thành, nội dung và giá trị</w:t>
      </w:r>
      <w:r w:rsidRPr="007D2105">
        <w:rPr>
          <w:color w:val="333333"/>
          <w:sz w:val="28"/>
          <w:szCs w:val="28"/>
          <w:bdr w:val="none" w:sz="0" w:space="0" w:color="auto" w:frame="1"/>
        </w:rPr>
        <w:t>, Sđd, trang 248 – 265.</w:t>
      </w:r>
    </w:p>
    <w:bookmarkEnd w:id="0"/>
    <w:p w:rsidR="00D54884" w:rsidRPr="007D2105" w:rsidRDefault="007D2105" w:rsidP="007D2105">
      <w:pPr>
        <w:spacing w:line="360" w:lineRule="auto"/>
        <w:rPr>
          <w:rFonts w:ascii="Times New Roman" w:hAnsi="Times New Roman" w:cs="Times New Roman"/>
          <w:sz w:val="28"/>
          <w:szCs w:val="28"/>
        </w:rPr>
      </w:pPr>
    </w:p>
    <w:sectPr w:rsidR="00D54884" w:rsidRPr="007D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05"/>
    <w:rsid w:val="00561265"/>
    <w:rsid w:val="007D2105"/>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105"/>
    <w:rPr>
      <w:b/>
      <w:bCs/>
    </w:rPr>
  </w:style>
  <w:style w:type="character" w:styleId="Emphasis">
    <w:name w:val="Emphasis"/>
    <w:basedOn w:val="DefaultParagraphFont"/>
    <w:uiPriority w:val="20"/>
    <w:qFormat/>
    <w:rsid w:val="007D2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105"/>
    <w:rPr>
      <w:b/>
      <w:bCs/>
    </w:rPr>
  </w:style>
  <w:style w:type="character" w:styleId="Emphasis">
    <w:name w:val="Emphasis"/>
    <w:basedOn w:val="DefaultParagraphFont"/>
    <w:uiPriority w:val="20"/>
    <w:qFormat/>
    <w:rsid w:val="007D2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2019-01-18T06:43:00Z</dcterms:created>
  <dcterms:modified xsi:type="dcterms:W3CDTF">2019-01-18T06:47:00Z</dcterms:modified>
</cp:coreProperties>
</file>